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66B" w:rsidRPr="000F5686" w:rsidRDefault="00F2096D">
      <w:pPr>
        <w:pStyle w:val="Titre1"/>
        <w:spacing w:before="76"/>
      </w:pPr>
      <w:bookmarkStart w:id="0" w:name="_GoBack"/>
      <w:bookmarkEnd w:id="0"/>
      <w:r w:rsidRPr="000F5686">
        <w:t>Marie-Elizabeth</w:t>
      </w:r>
      <w:r w:rsidRPr="000F5686">
        <w:rPr>
          <w:spacing w:val="-4"/>
        </w:rPr>
        <w:t xml:space="preserve"> </w:t>
      </w:r>
      <w:r w:rsidRPr="000F5686">
        <w:t>Ducreux</w:t>
      </w:r>
    </w:p>
    <w:p w:rsidR="001A09E9" w:rsidRDefault="001A09E9">
      <w:pPr>
        <w:spacing w:before="182" w:line="410" w:lineRule="auto"/>
        <w:ind w:left="116" w:right="4445"/>
        <w:rPr>
          <w:b/>
        </w:rPr>
      </w:pPr>
    </w:p>
    <w:p w:rsidR="00C8266B" w:rsidRPr="000F5686" w:rsidRDefault="00F2096D">
      <w:pPr>
        <w:spacing w:before="182" w:line="410" w:lineRule="auto"/>
        <w:ind w:left="116" w:right="4445"/>
        <w:rPr>
          <w:b/>
        </w:rPr>
      </w:pPr>
      <w:r w:rsidRPr="000F5686">
        <w:rPr>
          <w:b/>
        </w:rPr>
        <w:t>Publications</w:t>
      </w:r>
      <w:r w:rsidRPr="000F5686">
        <w:rPr>
          <w:b/>
          <w:spacing w:val="-1"/>
        </w:rPr>
        <w:t xml:space="preserve"> </w:t>
      </w:r>
      <w:r w:rsidRPr="000F5686">
        <w:rPr>
          <w:b/>
        </w:rPr>
        <w:t>201</w:t>
      </w:r>
      <w:r w:rsidR="009E6FFA" w:rsidRPr="000F5686">
        <w:rPr>
          <w:b/>
        </w:rPr>
        <w:t>0</w:t>
      </w:r>
      <w:r w:rsidRPr="000F5686">
        <w:rPr>
          <w:b/>
        </w:rPr>
        <w:t>-20</w:t>
      </w:r>
      <w:r w:rsidR="009E6FFA" w:rsidRPr="000F5686">
        <w:rPr>
          <w:b/>
        </w:rPr>
        <w:t>2</w:t>
      </w:r>
      <w:r w:rsidR="00256526">
        <w:rPr>
          <w:b/>
        </w:rPr>
        <w:t>2</w:t>
      </w:r>
    </w:p>
    <w:p w:rsidR="00C8266B" w:rsidRPr="000F5686" w:rsidRDefault="00C8266B">
      <w:pPr>
        <w:pStyle w:val="Corpsdetexte"/>
        <w:rPr>
          <w:b/>
        </w:rPr>
      </w:pPr>
    </w:p>
    <w:p w:rsidR="00C8266B" w:rsidRDefault="00252C09">
      <w:pPr>
        <w:pStyle w:val="Titre1"/>
        <w:spacing w:before="152"/>
        <w:rPr>
          <w:b w:val="0"/>
        </w:rPr>
      </w:pPr>
      <w:r w:rsidRPr="000F5686">
        <w:t xml:space="preserve">Ouvrages </w:t>
      </w:r>
      <w:r w:rsidR="00F2096D" w:rsidRPr="000F5686">
        <w:t>dirigé</w:t>
      </w:r>
      <w:r w:rsidRPr="000F5686">
        <w:t>s</w:t>
      </w:r>
      <w:r w:rsidR="00F2096D" w:rsidRPr="000F5686">
        <w:rPr>
          <w:spacing w:val="-3"/>
        </w:rPr>
        <w:t xml:space="preserve"> </w:t>
      </w:r>
      <w:r w:rsidR="00F2096D" w:rsidRPr="000F5686">
        <w:t>et</w:t>
      </w:r>
      <w:r w:rsidR="00F2096D" w:rsidRPr="000F5686">
        <w:rPr>
          <w:spacing w:val="1"/>
        </w:rPr>
        <w:t xml:space="preserve"> </w:t>
      </w:r>
      <w:proofErr w:type="gramStart"/>
      <w:r w:rsidR="00F2096D" w:rsidRPr="000F5686">
        <w:t>édité</w:t>
      </w:r>
      <w:r w:rsidRPr="000F5686">
        <w:t>s</w:t>
      </w:r>
      <w:r w:rsidR="00F2096D" w:rsidRPr="000F5686">
        <w:rPr>
          <w:b w:val="0"/>
        </w:rPr>
        <w:t>:</w:t>
      </w:r>
      <w:proofErr w:type="gramEnd"/>
    </w:p>
    <w:p w:rsidR="00BE7F6A" w:rsidRPr="000F5686" w:rsidRDefault="00BE7F6A">
      <w:pPr>
        <w:pStyle w:val="Titre1"/>
        <w:spacing w:before="152"/>
        <w:rPr>
          <w:b w:val="0"/>
        </w:rPr>
      </w:pPr>
    </w:p>
    <w:p w:rsidR="00BE7F6A" w:rsidRPr="00BE2E13" w:rsidRDefault="00BE7F6A" w:rsidP="00BE7F6A">
      <w:pPr>
        <w:pStyle w:val="NormalWeb"/>
        <w:spacing w:before="0" w:beforeAutospacing="0" w:after="0" w:afterAutospacing="0"/>
        <w:ind w:left="116"/>
        <w:jc w:val="both"/>
        <w:rPr>
          <w:color w:val="000000"/>
          <w:sz w:val="22"/>
          <w:szCs w:val="22"/>
        </w:rPr>
      </w:pPr>
      <w:r w:rsidRPr="00BE2E13">
        <w:rPr>
          <w:color w:val="000000"/>
          <w:sz w:val="22"/>
          <w:szCs w:val="22"/>
        </w:rPr>
        <w:t xml:space="preserve">Isabelle </w:t>
      </w:r>
      <w:proofErr w:type="spellStart"/>
      <w:r w:rsidRPr="00BE2E13">
        <w:rPr>
          <w:color w:val="000000"/>
          <w:sz w:val="22"/>
          <w:szCs w:val="22"/>
        </w:rPr>
        <w:t>Backouche</w:t>
      </w:r>
      <w:proofErr w:type="spellEnd"/>
      <w:r w:rsidRPr="00BE2E13">
        <w:rPr>
          <w:color w:val="000000"/>
          <w:sz w:val="22"/>
          <w:szCs w:val="22"/>
        </w:rPr>
        <w:t xml:space="preserve">, Fanny </w:t>
      </w:r>
      <w:proofErr w:type="spellStart"/>
      <w:r w:rsidRPr="00BE2E13">
        <w:rPr>
          <w:color w:val="000000"/>
          <w:sz w:val="22"/>
          <w:szCs w:val="22"/>
        </w:rPr>
        <w:t>Cosandey</w:t>
      </w:r>
      <w:proofErr w:type="spellEnd"/>
      <w:r w:rsidRPr="00BE2E13">
        <w:rPr>
          <w:color w:val="000000"/>
          <w:sz w:val="22"/>
          <w:szCs w:val="22"/>
        </w:rPr>
        <w:t xml:space="preserve">, Marie-Elizabeth Ducreux, Christophe </w:t>
      </w:r>
      <w:proofErr w:type="spellStart"/>
      <w:r w:rsidRPr="00BE2E13">
        <w:rPr>
          <w:color w:val="000000"/>
          <w:sz w:val="22"/>
          <w:szCs w:val="22"/>
        </w:rPr>
        <w:t>Duhamelle</w:t>
      </w:r>
      <w:proofErr w:type="spellEnd"/>
      <w:r w:rsidRPr="00BE2E13">
        <w:rPr>
          <w:color w:val="000000"/>
          <w:sz w:val="22"/>
          <w:szCs w:val="22"/>
        </w:rPr>
        <w:t>, Elie Haddad, Laurent Joly</w:t>
      </w:r>
      <w:r w:rsidRPr="00BE2E13">
        <w:rPr>
          <w:i/>
          <w:color w:val="000000"/>
          <w:sz w:val="22"/>
          <w:szCs w:val="22"/>
        </w:rPr>
        <w:t xml:space="preserve">, </w:t>
      </w:r>
      <w:bookmarkStart w:id="1" w:name="_Hlk67420076"/>
      <w:proofErr w:type="spellStart"/>
      <w:r w:rsidRPr="00BE2E13">
        <w:rPr>
          <w:i/>
          <w:color w:val="000000"/>
          <w:sz w:val="22"/>
          <w:szCs w:val="22"/>
        </w:rPr>
        <w:t>Borders</w:t>
      </w:r>
      <w:proofErr w:type="spellEnd"/>
      <w:r w:rsidRPr="00BE2E13">
        <w:rPr>
          <w:i/>
          <w:color w:val="000000"/>
          <w:sz w:val="22"/>
          <w:szCs w:val="22"/>
        </w:rPr>
        <w:t xml:space="preserve">, </w:t>
      </w:r>
      <w:proofErr w:type="spellStart"/>
      <w:r w:rsidRPr="00BE2E13">
        <w:rPr>
          <w:i/>
          <w:color w:val="000000"/>
          <w:sz w:val="22"/>
          <w:szCs w:val="22"/>
        </w:rPr>
        <w:t>Thresholds</w:t>
      </w:r>
      <w:proofErr w:type="spellEnd"/>
      <w:r w:rsidRPr="00BE2E13">
        <w:rPr>
          <w:i/>
          <w:color w:val="000000"/>
          <w:sz w:val="22"/>
          <w:szCs w:val="22"/>
        </w:rPr>
        <w:t xml:space="preserve">, </w:t>
      </w:r>
      <w:proofErr w:type="spellStart"/>
      <w:proofErr w:type="gramStart"/>
      <w:r w:rsidRPr="00BE2E13">
        <w:rPr>
          <w:i/>
          <w:color w:val="000000"/>
          <w:sz w:val="22"/>
          <w:szCs w:val="22"/>
        </w:rPr>
        <w:t>Boundaries</w:t>
      </w:r>
      <w:proofErr w:type="spellEnd"/>
      <w:r w:rsidRPr="00BE2E13">
        <w:rPr>
          <w:i/>
          <w:color w:val="000000"/>
          <w:sz w:val="22"/>
          <w:szCs w:val="22"/>
        </w:rPr>
        <w:t>:</w:t>
      </w:r>
      <w:proofErr w:type="gramEnd"/>
      <w:r w:rsidRPr="00BE2E13">
        <w:rPr>
          <w:i/>
          <w:color w:val="000000"/>
          <w:sz w:val="22"/>
          <w:szCs w:val="22"/>
        </w:rPr>
        <w:t xml:space="preserve"> A Social </w:t>
      </w:r>
      <w:proofErr w:type="spellStart"/>
      <w:r w:rsidRPr="00BE2E13">
        <w:rPr>
          <w:i/>
          <w:color w:val="000000"/>
          <w:sz w:val="22"/>
          <w:szCs w:val="22"/>
        </w:rPr>
        <w:t>History</w:t>
      </w:r>
      <w:proofErr w:type="spellEnd"/>
      <w:r w:rsidRPr="00BE2E13">
        <w:rPr>
          <w:i/>
          <w:color w:val="000000"/>
          <w:sz w:val="22"/>
          <w:szCs w:val="22"/>
        </w:rPr>
        <w:t xml:space="preserve"> of </w:t>
      </w:r>
      <w:proofErr w:type="spellStart"/>
      <w:r w:rsidRPr="00BE2E13">
        <w:rPr>
          <w:i/>
          <w:color w:val="000000"/>
          <w:sz w:val="22"/>
          <w:szCs w:val="22"/>
        </w:rPr>
        <w:t>Categorizations</w:t>
      </w:r>
      <w:proofErr w:type="spellEnd"/>
      <w:r w:rsidRPr="00BE2E13">
        <w:rPr>
          <w:color w:val="000000"/>
          <w:sz w:val="22"/>
          <w:szCs w:val="22"/>
        </w:rPr>
        <w:t>, in: L’Atelier bis du CRH 22bis, 2021</w:t>
      </w:r>
      <w:bookmarkEnd w:id="1"/>
    </w:p>
    <w:p w:rsidR="00BE7F6A" w:rsidRDefault="00096A53" w:rsidP="00BE7F6A">
      <w:pPr>
        <w:spacing w:before="184" w:line="254" w:lineRule="auto"/>
        <w:ind w:left="116" w:right="106"/>
      </w:pPr>
      <w:hyperlink r:id="rId5" w:history="1">
        <w:r w:rsidR="00BE7F6A" w:rsidRPr="001A09E9">
          <w:rPr>
            <w:color w:val="0000FF"/>
            <w:u w:val="single"/>
          </w:rPr>
          <w:t>https://doi.org/10.4000/acrh.12036</w:t>
        </w:r>
      </w:hyperlink>
    </w:p>
    <w:p w:rsidR="00252C09" w:rsidRPr="000F5686" w:rsidRDefault="00252C09">
      <w:pPr>
        <w:pStyle w:val="Titre1"/>
        <w:spacing w:before="152"/>
        <w:rPr>
          <w:b w:val="0"/>
        </w:rPr>
      </w:pPr>
    </w:p>
    <w:p w:rsidR="00252C09" w:rsidRDefault="00252C09" w:rsidP="00252C09">
      <w:pPr>
        <w:pStyle w:val="NormalWeb"/>
        <w:spacing w:before="0" w:beforeAutospacing="0" w:after="0" w:afterAutospacing="0"/>
        <w:ind w:left="116"/>
        <w:jc w:val="both"/>
        <w:rPr>
          <w:color w:val="000000"/>
          <w:sz w:val="22"/>
          <w:szCs w:val="22"/>
        </w:rPr>
      </w:pPr>
      <w:r w:rsidRPr="000F5686">
        <w:rPr>
          <w:color w:val="000000"/>
          <w:sz w:val="22"/>
          <w:szCs w:val="22"/>
        </w:rPr>
        <w:t xml:space="preserve">-Isabelle </w:t>
      </w:r>
      <w:proofErr w:type="spellStart"/>
      <w:r w:rsidRPr="000F5686">
        <w:rPr>
          <w:color w:val="000000"/>
          <w:sz w:val="22"/>
          <w:szCs w:val="22"/>
        </w:rPr>
        <w:t>Backouche</w:t>
      </w:r>
      <w:proofErr w:type="spellEnd"/>
      <w:r w:rsidRPr="000F5686">
        <w:rPr>
          <w:color w:val="000000"/>
          <w:sz w:val="22"/>
          <w:szCs w:val="22"/>
        </w:rPr>
        <w:t xml:space="preserve">, Fanny </w:t>
      </w:r>
      <w:proofErr w:type="spellStart"/>
      <w:r w:rsidRPr="000F5686">
        <w:rPr>
          <w:color w:val="000000"/>
          <w:sz w:val="22"/>
          <w:szCs w:val="22"/>
        </w:rPr>
        <w:t>Cosandey</w:t>
      </w:r>
      <w:proofErr w:type="spellEnd"/>
      <w:r w:rsidRPr="000F5686">
        <w:rPr>
          <w:color w:val="000000"/>
          <w:sz w:val="22"/>
          <w:szCs w:val="22"/>
        </w:rPr>
        <w:t xml:space="preserve">, Marie-Elizabeth Ducreux, Christophe </w:t>
      </w:r>
      <w:proofErr w:type="spellStart"/>
      <w:r w:rsidRPr="000F5686">
        <w:rPr>
          <w:color w:val="000000"/>
          <w:sz w:val="22"/>
          <w:szCs w:val="22"/>
        </w:rPr>
        <w:t>Duhamelle</w:t>
      </w:r>
      <w:proofErr w:type="spellEnd"/>
      <w:r w:rsidRPr="000F5686">
        <w:rPr>
          <w:color w:val="000000"/>
          <w:sz w:val="22"/>
          <w:szCs w:val="22"/>
        </w:rPr>
        <w:t xml:space="preserve">, Elie Haddad, Laurent Joly, </w:t>
      </w:r>
      <w:r w:rsidRPr="000F5686">
        <w:rPr>
          <w:i/>
          <w:color w:val="000000"/>
          <w:sz w:val="22"/>
          <w:szCs w:val="22"/>
        </w:rPr>
        <w:t>Frontières, Seuils, Limites : histoire sociale des catégorisations</w:t>
      </w:r>
      <w:r w:rsidRPr="000F5686">
        <w:rPr>
          <w:color w:val="000000"/>
          <w:sz w:val="22"/>
          <w:szCs w:val="22"/>
        </w:rPr>
        <w:t xml:space="preserve">, </w:t>
      </w:r>
      <w:r w:rsidRPr="000F5686">
        <w:rPr>
          <w:i/>
          <w:color w:val="000000"/>
          <w:sz w:val="22"/>
          <w:szCs w:val="22"/>
        </w:rPr>
        <w:t>L’Atelier bis du CRH</w:t>
      </w:r>
      <w:r w:rsidRPr="000F5686">
        <w:rPr>
          <w:color w:val="000000"/>
          <w:sz w:val="22"/>
          <w:szCs w:val="22"/>
        </w:rPr>
        <w:t xml:space="preserve">, </w:t>
      </w:r>
      <w:r w:rsidR="001A09E9">
        <w:rPr>
          <w:color w:val="000000"/>
          <w:sz w:val="22"/>
          <w:szCs w:val="22"/>
        </w:rPr>
        <w:t xml:space="preserve">21bis, </w:t>
      </w:r>
      <w:r w:rsidRPr="000F5686">
        <w:rPr>
          <w:color w:val="000000"/>
          <w:sz w:val="22"/>
          <w:szCs w:val="22"/>
        </w:rPr>
        <w:t>2020</w:t>
      </w:r>
    </w:p>
    <w:p w:rsidR="001A09E9" w:rsidRPr="00BE7F6A" w:rsidRDefault="00096A53" w:rsidP="001A09E9">
      <w:pPr>
        <w:pStyle w:val="Titre1"/>
        <w:spacing w:before="152"/>
        <w:rPr>
          <w:b w:val="0"/>
        </w:rPr>
      </w:pPr>
      <w:hyperlink r:id="rId6" w:history="1">
        <w:r w:rsidR="001A09E9" w:rsidRPr="00BE7F6A">
          <w:rPr>
            <w:rStyle w:val="Lienhypertexte"/>
            <w:b w:val="0"/>
          </w:rPr>
          <w:t>https://doi.org/10.4000/acrh.10678</w:t>
        </w:r>
      </w:hyperlink>
    </w:p>
    <w:p w:rsidR="001A09E9" w:rsidRPr="00BE7F6A" w:rsidRDefault="001A09E9" w:rsidP="00252C09">
      <w:pPr>
        <w:pStyle w:val="NormalWeb"/>
        <w:spacing w:before="0" w:beforeAutospacing="0" w:after="0" w:afterAutospacing="0"/>
        <w:ind w:left="116"/>
        <w:jc w:val="both"/>
        <w:rPr>
          <w:color w:val="000000"/>
          <w:sz w:val="22"/>
          <w:szCs w:val="22"/>
        </w:rPr>
      </w:pPr>
    </w:p>
    <w:p w:rsidR="00C8266B" w:rsidRPr="000F5686" w:rsidRDefault="00F2096D">
      <w:pPr>
        <w:spacing w:before="184" w:line="254" w:lineRule="auto"/>
        <w:ind w:left="116" w:right="106"/>
      </w:pPr>
      <w:r w:rsidRPr="000F5686">
        <w:t xml:space="preserve">– </w:t>
      </w:r>
      <w:r w:rsidRPr="000F5686">
        <w:rPr>
          <w:i/>
        </w:rPr>
        <w:t>Dévotion et Légitimation. Patronages sacrés dans l’Europe des Habsbourg</w:t>
      </w:r>
      <w:r w:rsidRPr="000F5686">
        <w:t>, Presses universitaires de</w:t>
      </w:r>
      <w:r w:rsidRPr="000F5686">
        <w:rPr>
          <w:spacing w:val="-52"/>
        </w:rPr>
        <w:t xml:space="preserve"> </w:t>
      </w:r>
      <w:r w:rsidRPr="000F5686">
        <w:t>Liège, Liège,</w:t>
      </w:r>
      <w:r w:rsidRPr="000F5686">
        <w:rPr>
          <w:spacing w:val="-1"/>
        </w:rPr>
        <w:t xml:space="preserve"> </w:t>
      </w:r>
      <w:r w:rsidRPr="000F5686">
        <w:t>2016.</w:t>
      </w:r>
    </w:p>
    <w:p w:rsidR="00252C09" w:rsidRPr="000F5686" w:rsidRDefault="00252C09">
      <w:pPr>
        <w:spacing w:before="184" w:line="254" w:lineRule="auto"/>
        <w:ind w:left="116" w:right="106"/>
      </w:pPr>
    </w:p>
    <w:p w:rsidR="00C8266B" w:rsidRPr="000F5686" w:rsidRDefault="00F2096D">
      <w:pPr>
        <w:pStyle w:val="Titre1"/>
        <w:spacing w:before="167"/>
        <w:rPr>
          <w:b w:val="0"/>
        </w:rPr>
      </w:pPr>
      <w:r w:rsidRPr="000F5686">
        <w:t>Articles</w:t>
      </w:r>
      <w:r w:rsidRPr="000F5686">
        <w:rPr>
          <w:spacing w:val="-1"/>
        </w:rPr>
        <w:t xml:space="preserve"> </w:t>
      </w:r>
      <w:r w:rsidRPr="000F5686">
        <w:t>dans des revues</w:t>
      </w:r>
      <w:r w:rsidRPr="000F5686">
        <w:rPr>
          <w:spacing w:val="-2"/>
        </w:rPr>
        <w:t xml:space="preserve"> </w:t>
      </w:r>
      <w:r w:rsidRPr="000F5686">
        <w:t>à</w:t>
      </w:r>
      <w:r w:rsidRPr="000F5686">
        <w:rPr>
          <w:spacing w:val="-4"/>
        </w:rPr>
        <w:t xml:space="preserve"> </w:t>
      </w:r>
      <w:r w:rsidRPr="000F5686">
        <w:t>comité de</w:t>
      </w:r>
      <w:r w:rsidRPr="000F5686">
        <w:rPr>
          <w:spacing w:val="-2"/>
        </w:rPr>
        <w:t xml:space="preserve"> </w:t>
      </w:r>
      <w:r w:rsidRPr="000F5686">
        <w:t>lecture</w:t>
      </w:r>
      <w:r w:rsidRPr="000F5686">
        <w:rPr>
          <w:spacing w:val="-1"/>
        </w:rPr>
        <w:t xml:space="preserve"> </w:t>
      </w:r>
      <w:r w:rsidRPr="000F5686">
        <w:rPr>
          <w:b w:val="0"/>
        </w:rPr>
        <w:t>:</w:t>
      </w:r>
    </w:p>
    <w:p w:rsidR="00C8266B" w:rsidRPr="000F5686" w:rsidRDefault="00F2096D">
      <w:pPr>
        <w:spacing w:before="179" w:line="256" w:lineRule="auto"/>
        <w:ind w:left="116" w:right="198"/>
        <w:rPr>
          <w:lang w:val="en-GB"/>
        </w:rPr>
      </w:pPr>
      <w:r w:rsidRPr="000F5686">
        <w:rPr>
          <w:lang w:val="en-GB"/>
        </w:rPr>
        <w:t>.</w:t>
      </w:r>
    </w:p>
    <w:p w:rsidR="00C8266B" w:rsidRPr="001A09E9" w:rsidRDefault="00F2096D">
      <w:pPr>
        <w:pStyle w:val="Titre1"/>
        <w:spacing w:before="167"/>
        <w:rPr>
          <w:lang w:val="en-GB"/>
        </w:rPr>
      </w:pPr>
      <w:proofErr w:type="spellStart"/>
      <w:r w:rsidRPr="001A09E9">
        <w:rPr>
          <w:lang w:val="en-GB"/>
        </w:rPr>
        <w:t>Parus</w:t>
      </w:r>
      <w:proofErr w:type="spellEnd"/>
      <w:r w:rsidRPr="001A09E9">
        <w:rPr>
          <w:lang w:val="en-GB"/>
        </w:rPr>
        <w:t>:</w:t>
      </w:r>
    </w:p>
    <w:p w:rsidR="001A09E9" w:rsidRPr="00BA7E2F" w:rsidRDefault="00BA7E2F" w:rsidP="00E10656">
      <w:pPr>
        <w:pStyle w:val="Titre1"/>
        <w:spacing w:before="167"/>
        <w:rPr>
          <w:b w:val="0"/>
          <w:lang w:val="en-GB"/>
        </w:rPr>
      </w:pPr>
      <w:r w:rsidRPr="00BA7E2F">
        <w:rPr>
          <w:b w:val="0"/>
          <w:lang w:val="en-GB"/>
        </w:rPr>
        <w:t>“Patronage, Politics, and Devotion : The Habsburgs of Central Europe and Jesuits Saints”, in: The Journal of Jesuit Studies, 9 (1) 2022, p. 53-75 https://doi.org/10.1163/22141332-09010004</w:t>
      </w:r>
    </w:p>
    <w:p w:rsidR="00252C09" w:rsidRPr="000F5686" w:rsidRDefault="00252C09" w:rsidP="00E10656">
      <w:pPr>
        <w:pStyle w:val="Titre1"/>
        <w:spacing w:before="167"/>
        <w:rPr>
          <w:b w:val="0"/>
          <w:lang w:val="en-GB"/>
        </w:rPr>
      </w:pPr>
      <w:r w:rsidRPr="000F5686">
        <w:rPr>
          <w:lang w:val="en-GB"/>
        </w:rPr>
        <w:t>- «</w:t>
      </w:r>
      <w:r w:rsidRPr="000F5686">
        <w:rPr>
          <w:b w:val="0"/>
          <w:lang w:val="en-GB"/>
        </w:rPr>
        <w:t xml:space="preserve"> Early Modern Mobilities and People on the Move: An Epistemological Challenge », in: </w:t>
      </w:r>
      <w:r w:rsidRPr="000F5686">
        <w:rPr>
          <w:b w:val="0"/>
          <w:i/>
          <w:lang w:val="en-GB"/>
        </w:rPr>
        <w:t xml:space="preserve">History-Theory-Criticism — </w:t>
      </w:r>
      <w:proofErr w:type="spellStart"/>
      <w:r w:rsidRPr="000F5686">
        <w:rPr>
          <w:b w:val="0"/>
          <w:i/>
          <w:lang w:val="en-GB"/>
        </w:rPr>
        <w:t>Dějiny-teorie-kritika</w:t>
      </w:r>
      <w:proofErr w:type="spellEnd"/>
      <w:r w:rsidRPr="000F5686">
        <w:rPr>
          <w:b w:val="0"/>
          <w:lang w:val="en-GB"/>
        </w:rPr>
        <w:t xml:space="preserve"> 1-2020, p. 9-35</w:t>
      </w:r>
      <w:r w:rsidR="00E10656" w:rsidRPr="000F5686">
        <w:rPr>
          <w:b w:val="0"/>
          <w:lang w:val="en-GB"/>
        </w:rPr>
        <w:t>, version papier et online</w:t>
      </w:r>
    </w:p>
    <w:p w:rsidR="00252C09" w:rsidRPr="000F5686" w:rsidRDefault="00096A53" w:rsidP="00E10656">
      <w:pPr>
        <w:pStyle w:val="Titre1"/>
        <w:spacing w:before="167"/>
        <w:rPr>
          <w:b w:val="0"/>
          <w:lang w:val="en-GB"/>
        </w:rPr>
      </w:pPr>
      <w:hyperlink r:id="rId7" w:history="1">
        <w:r w:rsidR="00252C09" w:rsidRPr="000F5686">
          <w:rPr>
            <w:rStyle w:val="Lienhypertexte"/>
            <w:b w:val="0"/>
            <w:lang w:val="en-GB"/>
          </w:rPr>
          <w:t>http://www.dejinyteoriekritika.cz/Modules/ViewDocument.aspx?Did=4765</w:t>
        </w:r>
      </w:hyperlink>
    </w:p>
    <w:p w:rsidR="00A36E04" w:rsidRPr="000F5686" w:rsidRDefault="00F2096D" w:rsidP="00A36E04">
      <w:pPr>
        <w:pStyle w:val="Corpsdetexte"/>
        <w:spacing w:before="179"/>
        <w:ind w:left="116"/>
        <w:jc w:val="both"/>
      </w:pPr>
      <w:proofErr w:type="gramStart"/>
      <w:r w:rsidRPr="000F5686">
        <w:t>-«</w:t>
      </w:r>
      <w:proofErr w:type="gramEnd"/>
      <w:r w:rsidRPr="000F5686">
        <w:rPr>
          <w:spacing w:val="-4"/>
        </w:rPr>
        <w:t xml:space="preserve"> </w:t>
      </w:r>
      <w:r w:rsidRPr="000F5686">
        <w:t>Circulations</w:t>
      </w:r>
      <w:r w:rsidRPr="000F5686">
        <w:rPr>
          <w:spacing w:val="-1"/>
        </w:rPr>
        <w:t xml:space="preserve"> </w:t>
      </w:r>
      <w:r w:rsidRPr="000F5686">
        <w:t>centre-européennes</w:t>
      </w:r>
      <w:r w:rsidRPr="000F5686">
        <w:rPr>
          <w:spacing w:val="-1"/>
        </w:rPr>
        <w:t xml:space="preserve"> </w:t>
      </w:r>
      <w:r w:rsidRPr="000F5686">
        <w:t>à</w:t>
      </w:r>
      <w:r w:rsidRPr="000F5686">
        <w:rPr>
          <w:spacing w:val="-3"/>
        </w:rPr>
        <w:t xml:space="preserve"> </w:t>
      </w:r>
      <w:r w:rsidRPr="000F5686">
        <w:t>l’époque</w:t>
      </w:r>
      <w:r w:rsidRPr="000F5686">
        <w:rPr>
          <w:spacing w:val="-3"/>
        </w:rPr>
        <w:t xml:space="preserve"> </w:t>
      </w:r>
      <w:r w:rsidRPr="000F5686">
        <w:t>moderne.</w:t>
      </w:r>
      <w:r w:rsidRPr="000F5686">
        <w:rPr>
          <w:spacing w:val="-2"/>
        </w:rPr>
        <w:t xml:space="preserve"> </w:t>
      </w:r>
      <w:r w:rsidRPr="000F5686">
        <w:t>Une</w:t>
      </w:r>
      <w:r w:rsidRPr="000F5686">
        <w:rPr>
          <w:spacing w:val="-1"/>
        </w:rPr>
        <w:t xml:space="preserve"> </w:t>
      </w:r>
      <w:r w:rsidRPr="000F5686">
        <w:t>perspective</w:t>
      </w:r>
      <w:r w:rsidRPr="000F5686">
        <w:rPr>
          <w:spacing w:val="-1"/>
        </w:rPr>
        <w:t xml:space="preserve"> </w:t>
      </w:r>
      <w:r w:rsidRPr="000F5686">
        <w:t>de</w:t>
      </w:r>
      <w:r w:rsidRPr="000F5686">
        <w:rPr>
          <w:spacing w:val="-3"/>
        </w:rPr>
        <w:t xml:space="preserve"> </w:t>
      </w:r>
      <w:proofErr w:type="gramStart"/>
      <w:r w:rsidRPr="000F5686">
        <w:t>recherche?</w:t>
      </w:r>
      <w:proofErr w:type="gramEnd"/>
      <w:r w:rsidRPr="000F5686">
        <w:rPr>
          <w:spacing w:val="-1"/>
        </w:rPr>
        <w:t xml:space="preserve"> </w:t>
      </w:r>
      <w:r w:rsidRPr="000F5686">
        <w:t>»,</w:t>
      </w:r>
      <w:r w:rsidRPr="000F5686">
        <w:rPr>
          <w:spacing w:val="-1"/>
        </w:rPr>
        <w:t xml:space="preserve"> </w:t>
      </w:r>
      <w:r w:rsidR="00A36E04" w:rsidRPr="000F5686">
        <w:rPr>
          <w:spacing w:val="-1"/>
        </w:rPr>
        <w:t xml:space="preserve">in : </w:t>
      </w:r>
      <w:r w:rsidRPr="000F5686">
        <w:rPr>
          <w:i/>
        </w:rPr>
        <w:t xml:space="preserve">Monde(s), </w:t>
      </w:r>
      <w:r w:rsidRPr="000F5686">
        <w:t>numéro 14, novembre 2018, p. 31-52.</w:t>
      </w:r>
    </w:p>
    <w:p w:rsidR="00E10656" w:rsidRPr="000F5686" w:rsidRDefault="00E10656" w:rsidP="00A36E04">
      <w:pPr>
        <w:spacing w:before="19"/>
        <w:ind w:left="116" w:right="113"/>
        <w:jc w:val="both"/>
      </w:pPr>
    </w:p>
    <w:p w:rsidR="00A200E8" w:rsidRPr="001A09E9" w:rsidRDefault="00A36E04" w:rsidP="00A36E04">
      <w:pPr>
        <w:spacing w:before="19"/>
        <w:ind w:left="116" w:right="113"/>
        <w:jc w:val="both"/>
        <w:rPr>
          <w:lang w:val="en-GB"/>
        </w:rPr>
      </w:pPr>
      <w:r w:rsidRPr="000F5686">
        <w:t>-</w:t>
      </w:r>
      <w:r w:rsidR="00A200E8" w:rsidRPr="000F5686">
        <w:t xml:space="preserve"> </w:t>
      </w:r>
      <w:r w:rsidRPr="000F5686">
        <w:t xml:space="preserve">« Nommer l’État et définir l’Empire. </w:t>
      </w:r>
      <w:r w:rsidRPr="00565A14">
        <w:rPr>
          <w:lang w:val="de-DE"/>
        </w:rPr>
        <w:t xml:space="preserve">Monarchie des Habsbourg » </w:t>
      </w:r>
      <w:proofErr w:type="gramStart"/>
      <w:r w:rsidRPr="00565A14">
        <w:rPr>
          <w:lang w:val="de-DE"/>
        </w:rPr>
        <w:t>in :</w:t>
      </w:r>
      <w:proofErr w:type="gramEnd"/>
      <w:r w:rsidRPr="00565A14">
        <w:rPr>
          <w:lang w:val="de-DE"/>
        </w:rPr>
        <w:t xml:space="preserve"> Monde(s). </w:t>
      </w:r>
      <w:proofErr w:type="spellStart"/>
      <w:r w:rsidRPr="001A09E9">
        <w:rPr>
          <w:lang w:val="en-GB"/>
        </w:rPr>
        <w:t>Histoire</w:t>
      </w:r>
      <w:proofErr w:type="spellEnd"/>
      <w:r w:rsidRPr="001A09E9">
        <w:rPr>
          <w:lang w:val="en-GB"/>
        </w:rPr>
        <w:t xml:space="preserve"> – </w:t>
      </w:r>
      <w:proofErr w:type="spellStart"/>
      <w:r w:rsidRPr="001A09E9">
        <w:rPr>
          <w:lang w:val="en-GB"/>
        </w:rPr>
        <w:t>Espaces</w:t>
      </w:r>
      <w:proofErr w:type="spellEnd"/>
      <w:r w:rsidRPr="001A09E9">
        <w:rPr>
          <w:lang w:val="en-GB"/>
        </w:rPr>
        <w:t xml:space="preserve"> –  Relations, 2012, n° 2, p. 39-66.</w:t>
      </w:r>
    </w:p>
    <w:p w:rsidR="00A36E04" w:rsidRPr="001A09E9" w:rsidRDefault="00A36E04" w:rsidP="00A36E04">
      <w:pPr>
        <w:spacing w:before="19"/>
        <w:ind w:left="116" w:right="113"/>
        <w:jc w:val="both"/>
        <w:rPr>
          <w:spacing w:val="-52"/>
          <w:lang w:val="en-GB"/>
        </w:rPr>
      </w:pPr>
    </w:p>
    <w:p w:rsidR="00A36E04" w:rsidRPr="000F5686" w:rsidRDefault="00A36E04" w:rsidP="00A36E04">
      <w:pPr>
        <w:ind w:firstLine="116"/>
        <w:rPr>
          <w:lang w:val="en-GB"/>
        </w:rPr>
      </w:pPr>
      <w:r w:rsidRPr="000F5686">
        <w:rPr>
          <w:lang w:val="en-GB"/>
        </w:rPr>
        <w:t xml:space="preserve">-“Emperors, Kingdoms, Territories : Multiple Versions of the Pietas </w:t>
      </w:r>
      <w:proofErr w:type="spellStart"/>
      <w:r w:rsidRPr="000F5686">
        <w:rPr>
          <w:lang w:val="en-GB"/>
        </w:rPr>
        <w:t>Austriaca</w:t>
      </w:r>
      <w:proofErr w:type="spellEnd"/>
      <w:r w:rsidRPr="000F5686">
        <w:rPr>
          <w:lang w:val="en-GB"/>
        </w:rPr>
        <w:t> ? “ in: The Catholic Historical Review, Washington D.C, vol. XCVII, n° 2, April 2011, p. 247-275.</w:t>
      </w:r>
    </w:p>
    <w:p w:rsidR="00A36E04" w:rsidRPr="000F5686" w:rsidRDefault="00A36E04" w:rsidP="00A36E04">
      <w:pPr>
        <w:rPr>
          <w:lang w:val="en-GB"/>
        </w:rPr>
      </w:pPr>
    </w:p>
    <w:p w:rsidR="00A200E8" w:rsidRPr="000F5686" w:rsidRDefault="00A36E04" w:rsidP="00A36E04">
      <w:pPr>
        <w:spacing w:before="19"/>
        <w:ind w:right="113" w:firstLine="116"/>
        <w:jc w:val="both"/>
      </w:pPr>
      <w:r w:rsidRPr="000F5686">
        <w:t xml:space="preserve">-“Une pédagogie des </w:t>
      </w:r>
      <w:proofErr w:type="gramStart"/>
      <w:r w:rsidRPr="000F5686">
        <w:t>vertus?</w:t>
      </w:r>
      <w:proofErr w:type="gramEnd"/>
      <w:r w:rsidRPr="000F5686">
        <w:t xml:space="preserve"> La cour sainte et le prince chrétien dans les pays des Habsbourg”, in : Acta </w:t>
      </w:r>
      <w:proofErr w:type="spellStart"/>
      <w:r w:rsidRPr="000F5686">
        <w:t>Universitatis</w:t>
      </w:r>
      <w:proofErr w:type="spellEnd"/>
      <w:r w:rsidRPr="000F5686">
        <w:t xml:space="preserve"> </w:t>
      </w:r>
      <w:proofErr w:type="spellStart"/>
      <w:r w:rsidRPr="000F5686">
        <w:t>Carolinae</w:t>
      </w:r>
      <w:proofErr w:type="spellEnd"/>
      <w:r w:rsidRPr="000F5686">
        <w:t xml:space="preserve">- Historia </w:t>
      </w:r>
      <w:proofErr w:type="spellStart"/>
      <w:r w:rsidRPr="000F5686">
        <w:t>Universitatis</w:t>
      </w:r>
      <w:proofErr w:type="spellEnd"/>
      <w:r w:rsidRPr="000F5686">
        <w:t xml:space="preserve"> </w:t>
      </w:r>
      <w:proofErr w:type="spellStart"/>
      <w:r w:rsidRPr="000F5686">
        <w:t>Carolinae</w:t>
      </w:r>
      <w:proofErr w:type="spellEnd"/>
      <w:r w:rsidRPr="000F5686">
        <w:t xml:space="preserve"> </w:t>
      </w:r>
      <w:proofErr w:type="spellStart"/>
      <w:proofErr w:type="gramStart"/>
      <w:r w:rsidRPr="000F5686">
        <w:t>Pragensis</w:t>
      </w:r>
      <w:proofErr w:type="spellEnd"/>
      <w:r w:rsidRPr="000F5686">
        <w:t> ,</w:t>
      </w:r>
      <w:proofErr w:type="gramEnd"/>
      <w:r w:rsidRPr="000F5686">
        <w:t xml:space="preserve"> 2011, 50, 1, p. 195-215</w:t>
      </w:r>
    </w:p>
    <w:p w:rsidR="00A36E04" w:rsidRPr="000F5686" w:rsidRDefault="00A36E04" w:rsidP="00A36E04">
      <w:pPr>
        <w:spacing w:before="19"/>
        <w:ind w:right="113" w:firstLine="116"/>
        <w:jc w:val="both"/>
        <w:rPr>
          <w:spacing w:val="-52"/>
        </w:rPr>
      </w:pPr>
    </w:p>
    <w:p w:rsidR="00A36E04" w:rsidRPr="000F5686" w:rsidRDefault="00A36E04" w:rsidP="00A36E04">
      <w:pPr>
        <w:spacing w:before="19"/>
        <w:ind w:right="113" w:firstLine="116"/>
        <w:jc w:val="both"/>
        <w:rPr>
          <w:spacing w:val="-52"/>
        </w:rPr>
      </w:pPr>
      <w:r w:rsidRPr="000F5686">
        <w:rPr>
          <w:lang w:eastAsia="fr-FR"/>
        </w:rPr>
        <w:t xml:space="preserve">« Le Politique et l’homme chrétien. Les jésuites et la pédagogie des vertus au XVIIe siècle dans la Monarchie des Habsbourg : Nicolas </w:t>
      </w:r>
      <w:proofErr w:type="spellStart"/>
      <w:r w:rsidRPr="000F5686">
        <w:rPr>
          <w:lang w:eastAsia="fr-FR"/>
        </w:rPr>
        <w:t>Caussin</w:t>
      </w:r>
      <w:proofErr w:type="spellEnd"/>
      <w:r w:rsidRPr="000F5686">
        <w:rPr>
          <w:lang w:eastAsia="fr-FR"/>
        </w:rPr>
        <w:t xml:space="preserve">, Guillaume et Henri </w:t>
      </w:r>
      <w:proofErr w:type="spellStart"/>
      <w:r w:rsidRPr="000F5686">
        <w:rPr>
          <w:lang w:eastAsia="fr-FR"/>
        </w:rPr>
        <w:t>Lamormaini</w:t>
      </w:r>
      <w:proofErr w:type="spellEnd"/>
      <w:r w:rsidRPr="000F5686">
        <w:rPr>
          <w:lang w:eastAsia="fr-FR"/>
        </w:rPr>
        <w:t xml:space="preserve"> », in : </w:t>
      </w:r>
      <w:r w:rsidRPr="000F5686">
        <w:rPr>
          <w:i/>
          <w:lang w:eastAsia="fr-FR"/>
        </w:rPr>
        <w:t>L’Atelier du Centre de Recherches Historiques. Revue électronique du CRH</w:t>
      </w:r>
      <w:r w:rsidRPr="000F5686">
        <w:rPr>
          <w:lang w:eastAsia="fr-FR"/>
        </w:rPr>
        <w:t>, 2011 (</w:t>
      </w:r>
      <w:hyperlink r:id="rId8" w:history="1">
        <w:r w:rsidRPr="000F5686">
          <w:rPr>
            <w:rStyle w:val="Lienhypertexte"/>
            <w:lang w:eastAsia="fr-FR"/>
          </w:rPr>
          <w:t>http://acrh.revues.org/index4173/html</w:t>
        </w:r>
      </w:hyperlink>
      <w:r w:rsidRPr="000F5686">
        <w:rPr>
          <w:lang w:eastAsia="fr-FR"/>
        </w:rPr>
        <w:t>)</w:t>
      </w:r>
    </w:p>
    <w:p w:rsidR="00A36E04" w:rsidRPr="000F5686" w:rsidRDefault="00A36E04" w:rsidP="00A36E04">
      <w:pPr>
        <w:spacing w:before="19"/>
        <w:ind w:right="113" w:firstLine="116"/>
        <w:jc w:val="both"/>
        <w:rPr>
          <w:spacing w:val="-52"/>
        </w:rPr>
      </w:pPr>
    </w:p>
    <w:p w:rsidR="00D557DA" w:rsidRDefault="00D557DA" w:rsidP="007B2740">
      <w:pPr>
        <w:spacing w:before="19" w:line="412" w:lineRule="auto"/>
        <w:ind w:left="116" w:right="113"/>
        <w:jc w:val="both"/>
        <w:rPr>
          <w:b/>
        </w:rPr>
      </w:pPr>
    </w:p>
    <w:p w:rsidR="009569D9" w:rsidRDefault="009569D9" w:rsidP="007B2740">
      <w:pPr>
        <w:spacing w:before="19" w:line="412" w:lineRule="auto"/>
        <w:ind w:left="116" w:right="113"/>
        <w:jc w:val="both"/>
        <w:rPr>
          <w:b/>
        </w:rPr>
      </w:pPr>
    </w:p>
    <w:p w:rsidR="009569D9" w:rsidRDefault="009569D9" w:rsidP="007B2740">
      <w:pPr>
        <w:spacing w:before="19" w:line="412" w:lineRule="auto"/>
        <w:ind w:left="116" w:right="113"/>
        <w:jc w:val="both"/>
        <w:rPr>
          <w:b/>
        </w:rPr>
      </w:pPr>
    </w:p>
    <w:p w:rsidR="00C8266B" w:rsidRDefault="00F2096D" w:rsidP="007B2740">
      <w:pPr>
        <w:spacing w:before="19" w:line="412" w:lineRule="auto"/>
        <w:ind w:left="116" w:right="113"/>
        <w:jc w:val="both"/>
        <w:rPr>
          <w:b/>
        </w:rPr>
      </w:pPr>
      <w:r w:rsidRPr="000F5686">
        <w:rPr>
          <w:b/>
        </w:rPr>
        <w:lastRenderedPageBreak/>
        <w:t>Contributions à des volumes collectifs et actes</w:t>
      </w:r>
      <w:r w:rsidRPr="000F5686">
        <w:rPr>
          <w:b/>
          <w:spacing w:val="-52"/>
        </w:rPr>
        <w:t xml:space="preserve"> </w:t>
      </w:r>
      <w:r w:rsidRPr="000F5686">
        <w:rPr>
          <w:b/>
        </w:rPr>
        <w:t>de</w:t>
      </w:r>
      <w:r w:rsidRPr="000F5686">
        <w:rPr>
          <w:b/>
          <w:spacing w:val="-1"/>
        </w:rPr>
        <w:t xml:space="preserve"> </w:t>
      </w:r>
      <w:r w:rsidRPr="000F5686">
        <w:rPr>
          <w:b/>
        </w:rPr>
        <w:t>colloques à comité</w:t>
      </w:r>
      <w:r w:rsidRPr="000F5686">
        <w:rPr>
          <w:b/>
          <w:spacing w:val="-1"/>
        </w:rPr>
        <w:t xml:space="preserve"> </w:t>
      </w:r>
      <w:r w:rsidRPr="000F5686">
        <w:rPr>
          <w:b/>
        </w:rPr>
        <w:t>de</w:t>
      </w:r>
      <w:r w:rsidRPr="000F5686">
        <w:rPr>
          <w:b/>
          <w:spacing w:val="-2"/>
        </w:rPr>
        <w:t xml:space="preserve"> </w:t>
      </w:r>
      <w:r w:rsidRPr="000F5686">
        <w:rPr>
          <w:b/>
        </w:rPr>
        <w:t>lecture</w:t>
      </w:r>
      <w:r w:rsidRPr="000F5686">
        <w:rPr>
          <w:b/>
          <w:spacing w:val="2"/>
        </w:rPr>
        <w:t xml:space="preserve"> </w:t>
      </w:r>
      <w:r w:rsidRPr="000F5686">
        <w:rPr>
          <w:b/>
        </w:rPr>
        <w:t>:</w:t>
      </w:r>
    </w:p>
    <w:p w:rsidR="00BA7E2F" w:rsidRPr="009569D9" w:rsidRDefault="00BA7E2F" w:rsidP="007B2740">
      <w:pPr>
        <w:spacing w:before="19" w:line="412" w:lineRule="auto"/>
        <w:ind w:left="116" w:right="113"/>
        <w:jc w:val="both"/>
        <w:rPr>
          <w:b/>
          <w:lang w:val="en-GB"/>
        </w:rPr>
      </w:pPr>
      <w:r w:rsidRPr="009569D9">
        <w:rPr>
          <w:b/>
          <w:lang w:val="en-GB"/>
        </w:rPr>
        <w:t xml:space="preserve">A </w:t>
      </w:r>
      <w:proofErr w:type="spellStart"/>
      <w:r w:rsidRPr="009569D9">
        <w:rPr>
          <w:b/>
          <w:lang w:val="en-GB"/>
        </w:rPr>
        <w:t>paraître</w:t>
      </w:r>
      <w:proofErr w:type="spellEnd"/>
      <w:r w:rsidRPr="009569D9">
        <w:rPr>
          <w:b/>
          <w:lang w:val="en-GB"/>
        </w:rPr>
        <w:t>//</w:t>
      </w:r>
    </w:p>
    <w:p w:rsidR="009569D9" w:rsidRPr="009569D9" w:rsidRDefault="009569D9" w:rsidP="009569D9">
      <w:pPr>
        <w:rPr>
          <w:lang w:val="en-GB"/>
        </w:rPr>
      </w:pPr>
      <w:r>
        <w:rPr>
          <w:lang w:val="en-GB"/>
        </w:rPr>
        <w:t xml:space="preserve">«  </w:t>
      </w:r>
      <w:r w:rsidRPr="001F29FF">
        <w:rPr>
          <w:lang w:val="en-GB"/>
        </w:rPr>
        <w:t xml:space="preserve">How Local </w:t>
      </w:r>
      <w:r>
        <w:rPr>
          <w:lang w:val="en-GB"/>
        </w:rPr>
        <w:t>W</w:t>
      </w:r>
      <w:r w:rsidRPr="001F29FF">
        <w:rPr>
          <w:lang w:val="en-GB"/>
        </w:rPr>
        <w:t xml:space="preserve">as a Local Saint? How Global Was a Regional Saint? Contrasted Cases of </w:t>
      </w:r>
      <w:proofErr w:type="spellStart"/>
      <w:r w:rsidRPr="001F29FF">
        <w:rPr>
          <w:i/>
          <w:iCs/>
          <w:lang w:val="en-GB"/>
        </w:rPr>
        <w:t>R</w:t>
      </w:r>
      <w:r w:rsidRPr="001F29FF">
        <w:rPr>
          <w:i/>
          <w:lang w:val="en-GB"/>
        </w:rPr>
        <w:t>ecognitio</w:t>
      </w:r>
      <w:proofErr w:type="spellEnd"/>
      <w:r w:rsidRPr="001F29FF">
        <w:rPr>
          <w:i/>
          <w:lang w:val="en-GB"/>
        </w:rPr>
        <w:t xml:space="preserve"> </w:t>
      </w:r>
      <w:proofErr w:type="spellStart"/>
      <w:r w:rsidRPr="001F29FF">
        <w:rPr>
          <w:i/>
          <w:lang w:val="en-GB"/>
        </w:rPr>
        <w:t>Cultus</w:t>
      </w:r>
      <w:proofErr w:type="spellEnd"/>
      <w:r w:rsidRPr="001F29FF">
        <w:rPr>
          <w:lang w:val="en-GB"/>
        </w:rPr>
        <w:t xml:space="preserve"> </w:t>
      </w:r>
      <w:r>
        <w:rPr>
          <w:lang w:val="en-GB"/>
        </w:rPr>
        <w:t xml:space="preserve">in </w:t>
      </w:r>
      <w:r w:rsidRPr="001F29FF">
        <w:rPr>
          <w:lang w:val="en-GB"/>
        </w:rPr>
        <w:t>a (Large) Central European Space in Early Modern Times</w:t>
      </w:r>
      <w:r>
        <w:rPr>
          <w:lang w:val="en-GB"/>
        </w:rPr>
        <w:t xml:space="preserve"> », in: Daniel </w:t>
      </w:r>
      <w:proofErr w:type="spellStart"/>
      <w:r>
        <w:rPr>
          <w:lang w:val="en-GB"/>
        </w:rPr>
        <w:t>Sidler</w:t>
      </w:r>
      <w:proofErr w:type="spellEnd"/>
      <w:r w:rsidRPr="009569D9">
        <w:rPr>
          <w:i/>
          <w:lang w:val="en-GB"/>
        </w:rPr>
        <w:t xml:space="preserve">, Christian </w:t>
      </w:r>
      <w:proofErr w:type="spellStart"/>
      <w:r w:rsidRPr="009569D9">
        <w:rPr>
          <w:i/>
          <w:lang w:val="en-GB"/>
        </w:rPr>
        <w:t>Windler</w:t>
      </w:r>
      <w:proofErr w:type="spellEnd"/>
      <w:r w:rsidRPr="009569D9">
        <w:rPr>
          <w:i/>
          <w:lang w:val="en-GB"/>
        </w:rPr>
        <w:t xml:space="preserve">, Samuel Weber (ed.), Making Saints in a </w:t>
      </w:r>
      <w:proofErr w:type="spellStart"/>
      <w:r w:rsidRPr="009569D9">
        <w:rPr>
          <w:i/>
          <w:lang w:val="en-GB"/>
        </w:rPr>
        <w:t>Glocal</w:t>
      </w:r>
      <w:proofErr w:type="spellEnd"/>
      <w:r w:rsidRPr="009569D9">
        <w:rPr>
          <w:i/>
          <w:lang w:val="en-GB"/>
        </w:rPr>
        <w:t xml:space="preserve"> Religion: Practices of Holiness in Early Modern Catholicism</w:t>
      </w:r>
      <w:r>
        <w:rPr>
          <w:lang w:val="en-GB"/>
        </w:rPr>
        <w:t xml:space="preserve">, à </w:t>
      </w:r>
      <w:proofErr w:type="spellStart"/>
      <w:r>
        <w:rPr>
          <w:lang w:val="en-GB"/>
        </w:rPr>
        <w:t>paraître</w:t>
      </w:r>
      <w:proofErr w:type="spellEnd"/>
    </w:p>
    <w:p w:rsidR="009569D9" w:rsidRPr="009569D9" w:rsidRDefault="009569D9" w:rsidP="009569D9">
      <w:pPr>
        <w:tabs>
          <w:tab w:val="left" w:pos="239"/>
        </w:tabs>
        <w:ind w:left="-7"/>
        <w:rPr>
          <w:lang w:val="en-GB"/>
        </w:rPr>
      </w:pPr>
    </w:p>
    <w:p w:rsidR="00C8266B" w:rsidRPr="009569D9" w:rsidRDefault="00F2096D" w:rsidP="009569D9">
      <w:pPr>
        <w:tabs>
          <w:tab w:val="left" w:pos="239"/>
        </w:tabs>
        <w:ind w:left="-7"/>
        <w:rPr>
          <w:lang w:val="en-GB"/>
        </w:rPr>
      </w:pPr>
      <w:r w:rsidRPr="009569D9">
        <w:rPr>
          <w:i/>
          <w:lang w:val="en-GB"/>
        </w:rPr>
        <w:t>«</w:t>
      </w:r>
      <w:r w:rsidRPr="009569D9">
        <w:rPr>
          <w:i/>
          <w:spacing w:val="-2"/>
          <w:lang w:val="en-GB"/>
        </w:rPr>
        <w:t xml:space="preserve"> </w:t>
      </w:r>
      <w:r w:rsidRPr="009569D9">
        <w:rPr>
          <w:lang w:val="en-GB"/>
        </w:rPr>
        <w:t>The</w:t>
      </w:r>
      <w:r w:rsidRPr="009569D9">
        <w:rPr>
          <w:spacing w:val="-6"/>
          <w:lang w:val="en-GB"/>
        </w:rPr>
        <w:t xml:space="preserve"> </w:t>
      </w:r>
      <w:r w:rsidRPr="009569D9">
        <w:rPr>
          <w:lang w:val="en-GB"/>
        </w:rPr>
        <w:t>End</w:t>
      </w:r>
      <w:r w:rsidRPr="009569D9">
        <w:rPr>
          <w:spacing w:val="-7"/>
          <w:lang w:val="en-GB"/>
        </w:rPr>
        <w:t xml:space="preserve"> </w:t>
      </w:r>
      <w:r w:rsidRPr="009569D9">
        <w:rPr>
          <w:lang w:val="en-GB"/>
        </w:rPr>
        <w:t>of</w:t>
      </w:r>
      <w:r w:rsidRPr="009569D9">
        <w:rPr>
          <w:spacing w:val="-5"/>
          <w:lang w:val="en-GB"/>
        </w:rPr>
        <w:t xml:space="preserve"> </w:t>
      </w:r>
      <w:r w:rsidRPr="009569D9">
        <w:rPr>
          <w:lang w:val="en-GB"/>
        </w:rPr>
        <w:t>a</w:t>
      </w:r>
      <w:r w:rsidRPr="009569D9">
        <w:rPr>
          <w:spacing w:val="-6"/>
          <w:lang w:val="en-GB"/>
        </w:rPr>
        <w:t xml:space="preserve"> </w:t>
      </w:r>
      <w:r w:rsidRPr="009569D9">
        <w:rPr>
          <w:lang w:val="en-GB"/>
        </w:rPr>
        <w:t>Pluralist</w:t>
      </w:r>
      <w:r w:rsidRPr="009569D9">
        <w:rPr>
          <w:spacing w:val="-7"/>
          <w:lang w:val="en-GB"/>
        </w:rPr>
        <w:t xml:space="preserve"> </w:t>
      </w:r>
      <w:r w:rsidRPr="009569D9">
        <w:rPr>
          <w:lang w:val="en-GB"/>
        </w:rPr>
        <w:t>Society:</w:t>
      </w:r>
      <w:r w:rsidRPr="009569D9">
        <w:rPr>
          <w:spacing w:val="-5"/>
          <w:lang w:val="en-GB"/>
        </w:rPr>
        <w:t xml:space="preserve"> </w:t>
      </w:r>
      <w:r w:rsidRPr="009569D9">
        <w:rPr>
          <w:lang w:val="en-GB"/>
        </w:rPr>
        <w:t>Chant</w:t>
      </w:r>
      <w:r w:rsidRPr="009569D9">
        <w:rPr>
          <w:spacing w:val="-8"/>
          <w:lang w:val="en-GB"/>
        </w:rPr>
        <w:t xml:space="preserve"> </w:t>
      </w:r>
      <w:r w:rsidRPr="009569D9">
        <w:rPr>
          <w:lang w:val="en-GB"/>
        </w:rPr>
        <w:t>and</w:t>
      </w:r>
      <w:r w:rsidRPr="009569D9">
        <w:rPr>
          <w:spacing w:val="-6"/>
          <w:lang w:val="en-GB"/>
        </w:rPr>
        <w:t xml:space="preserve"> </w:t>
      </w:r>
      <w:r w:rsidRPr="009569D9">
        <w:rPr>
          <w:lang w:val="en-GB"/>
        </w:rPr>
        <w:t>Hymnody”,</w:t>
      </w:r>
      <w:r w:rsidRPr="009569D9">
        <w:rPr>
          <w:spacing w:val="-6"/>
          <w:lang w:val="en-GB"/>
        </w:rPr>
        <w:t xml:space="preserve"> </w:t>
      </w:r>
      <w:r w:rsidRPr="009569D9">
        <w:rPr>
          <w:lang w:val="en-GB"/>
        </w:rPr>
        <w:t>in:</w:t>
      </w:r>
      <w:r w:rsidRPr="009569D9">
        <w:rPr>
          <w:spacing w:val="-5"/>
          <w:lang w:val="en-GB"/>
        </w:rPr>
        <w:t xml:space="preserve"> </w:t>
      </w:r>
      <w:r w:rsidRPr="009569D9">
        <w:rPr>
          <w:lang w:val="en-GB"/>
        </w:rPr>
        <w:t>Erika</w:t>
      </w:r>
      <w:r w:rsidRPr="009569D9">
        <w:rPr>
          <w:spacing w:val="-6"/>
          <w:lang w:val="en-GB"/>
        </w:rPr>
        <w:t xml:space="preserve"> </w:t>
      </w:r>
      <w:proofErr w:type="spellStart"/>
      <w:r w:rsidRPr="009569D9">
        <w:rPr>
          <w:spacing w:val="-6"/>
          <w:lang w:val="en-GB"/>
        </w:rPr>
        <w:t>H</w:t>
      </w:r>
      <w:r w:rsidR="00BE2E13" w:rsidRPr="009569D9">
        <w:rPr>
          <w:spacing w:val="-6"/>
          <w:lang w:val="en-GB"/>
        </w:rPr>
        <w:t>onisch</w:t>
      </w:r>
      <w:proofErr w:type="spellEnd"/>
      <w:r w:rsidRPr="009569D9">
        <w:rPr>
          <w:lang w:val="en-GB"/>
        </w:rPr>
        <w:t>,</w:t>
      </w:r>
      <w:r w:rsidRPr="009569D9">
        <w:rPr>
          <w:spacing w:val="-7"/>
          <w:lang w:val="en-GB"/>
        </w:rPr>
        <w:t xml:space="preserve"> </w:t>
      </w:r>
      <w:r w:rsidRPr="009569D9">
        <w:rPr>
          <w:lang w:val="en-GB"/>
        </w:rPr>
        <w:t>Christian</w:t>
      </w:r>
      <w:r w:rsidRPr="009569D9">
        <w:rPr>
          <w:spacing w:val="-6"/>
          <w:lang w:val="en-GB"/>
        </w:rPr>
        <w:t xml:space="preserve"> </w:t>
      </w:r>
      <w:proofErr w:type="spellStart"/>
      <w:r w:rsidRPr="009569D9">
        <w:rPr>
          <w:lang w:val="en-GB"/>
        </w:rPr>
        <w:t>Leitmeir</w:t>
      </w:r>
      <w:proofErr w:type="spellEnd"/>
      <w:r w:rsidRPr="009569D9">
        <w:rPr>
          <w:spacing w:val="-8"/>
          <w:lang w:val="en-GB"/>
        </w:rPr>
        <w:t xml:space="preserve"> </w:t>
      </w:r>
      <w:r w:rsidRPr="009569D9">
        <w:rPr>
          <w:lang w:val="en-GB"/>
        </w:rPr>
        <w:t>(</w:t>
      </w:r>
      <w:proofErr w:type="spellStart"/>
      <w:r w:rsidRPr="009569D9">
        <w:rPr>
          <w:lang w:val="en-GB"/>
        </w:rPr>
        <w:t>éd</w:t>
      </w:r>
      <w:proofErr w:type="spellEnd"/>
      <w:r w:rsidRPr="009569D9">
        <w:rPr>
          <w:lang w:val="en-GB"/>
        </w:rPr>
        <w:t>).,</w:t>
      </w:r>
    </w:p>
    <w:p w:rsidR="00C8266B" w:rsidRPr="000F5686" w:rsidRDefault="00F2096D">
      <w:pPr>
        <w:spacing w:before="1"/>
        <w:ind w:left="116"/>
        <w:jc w:val="both"/>
        <w:rPr>
          <w:lang w:val="en-GB"/>
        </w:rPr>
      </w:pPr>
      <w:r w:rsidRPr="000F5686">
        <w:rPr>
          <w:i/>
          <w:lang w:val="en-GB"/>
        </w:rPr>
        <w:t>Brill Companion</w:t>
      </w:r>
      <w:r w:rsidRPr="000F5686">
        <w:rPr>
          <w:i/>
          <w:spacing w:val="-1"/>
          <w:lang w:val="en-GB"/>
        </w:rPr>
        <w:t xml:space="preserve"> </w:t>
      </w:r>
      <w:r w:rsidRPr="000F5686">
        <w:rPr>
          <w:i/>
          <w:lang w:val="en-GB"/>
        </w:rPr>
        <w:t>of</w:t>
      </w:r>
      <w:r w:rsidRPr="000F5686">
        <w:rPr>
          <w:i/>
          <w:spacing w:val="-3"/>
          <w:lang w:val="en-GB"/>
        </w:rPr>
        <w:t xml:space="preserve"> </w:t>
      </w:r>
      <w:r w:rsidRPr="000F5686">
        <w:rPr>
          <w:i/>
          <w:lang w:val="en-GB"/>
        </w:rPr>
        <w:t>Music</w:t>
      </w:r>
      <w:r w:rsidRPr="000F5686">
        <w:rPr>
          <w:i/>
          <w:spacing w:val="-3"/>
          <w:lang w:val="en-GB"/>
        </w:rPr>
        <w:t xml:space="preserve"> </w:t>
      </w:r>
      <w:r w:rsidRPr="000F5686">
        <w:rPr>
          <w:i/>
          <w:lang w:val="en-GB"/>
        </w:rPr>
        <w:t>in</w:t>
      </w:r>
      <w:r w:rsidRPr="000F5686">
        <w:rPr>
          <w:i/>
          <w:spacing w:val="-1"/>
          <w:lang w:val="en-GB"/>
        </w:rPr>
        <w:t xml:space="preserve"> </w:t>
      </w:r>
      <w:r w:rsidRPr="000F5686">
        <w:rPr>
          <w:i/>
          <w:lang w:val="en-GB"/>
        </w:rPr>
        <w:t>Rudolphine</w:t>
      </w:r>
      <w:r w:rsidRPr="000F5686">
        <w:rPr>
          <w:i/>
          <w:spacing w:val="-1"/>
          <w:lang w:val="en-GB"/>
        </w:rPr>
        <w:t xml:space="preserve"> </w:t>
      </w:r>
      <w:r w:rsidRPr="000F5686">
        <w:rPr>
          <w:i/>
          <w:lang w:val="en-GB"/>
        </w:rPr>
        <w:t>Prague</w:t>
      </w:r>
      <w:r w:rsidRPr="000F5686">
        <w:rPr>
          <w:lang w:val="en-GB"/>
        </w:rPr>
        <w:t>,</w:t>
      </w:r>
      <w:r w:rsidRPr="000F5686">
        <w:rPr>
          <w:spacing w:val="53"/>
          <w:lang w:val="en-GB"/>
        </w:rPr>
        <w:t xml:space="preserve"> </w:t>
      </w:r>
      <w:r w:rsidRPr="000F5686">
        <w:rPr>
          <w:lang w:val="en-GB"/>
        </w:rPr>
        <w:t>Leiden,</w:t>
      </w:r>
      <w:r w:rsidRPr="000F5686">
        <w:rPr>
          <w:spacing w:val="-1"/>
          <w:lang w:val="en-GB"/>
        </w:rPr>
        <w:t xml:space="preserve"> </w:t>
      </w:r>
      <w:r w:rsidRPr="000F5686">
        <w:rPr>
          <w:lang w:val="en-GB"/>
        </w:rPr>
        <w:t>Brill</w:t>
      </w:r>
      <w:r w:rsidR="00FA57F1">
        <w:rPr>
          <w:lang w:val="en-GB"/>
        </w:rPr>
        <w:t>, to be published</w:t>
      </w:r>
      <w:r w:rsidRPr="000F5686">
        <w:rPr>
          <w:lang w:val="en-GB"/>
        </w:rPr>
        <w:t>.</w:t>
      </w:r>
    </w:p>
    <w:p w:rsidR="00DF0388" w:rsidRPr="000F5686" w:rsidRDefault="00DF0388">
      <w:pPr>
        <w:spacing w:before="1"/>
        <w:ind w:left="116"/>
        <w:jc w:val="both"/>
        <w:rPr>
          <w:lang w:val="en-GB"/>
        </w:rPr>
      </w:pPr>
    </w:p>
    <w:p w:rsidR="00DF0388" w:rsidRDefault="00DF0388">
      <w:pPr>
        <w:spacing w:before="1"/>
        <w:ind w:left="116"/>
        <w:jc w:val="both"/>
      </w:pPr>
      <w:r w:rsidRPr="000F5686">
        <w:t xml:space="preserve">- </w:t>
      </w:r>
      <w:r w:rsidR="005747B1" w:rsidRPr="000F5686">
        <w:t>« </w:t>
      </w:r>
      <w:r w:rsidRPr="000F5686">
        <w:t>Sous le patronage d’un saint ? Le regard des brefs d’indulgences sur les confréries de dévotion en Europe centrale et orientale à l’époque moderne</w:t>
      </w:r>
      <w:r w:rsidR="005747B1" w:rsidRPr="000F5686">
        <w:t xml:space="preserve"> », </w:t>
      </w:r>
      <w:bookmarkStart w:id="2" w:name="_Hlk67416586"/>
      <w:r w:rsidR="005747B1" w:rsidRPr="000F5686">
        <w:t>in : Jean-Marie Le Gall (</w:t>
      </w:r>
      <w:proofErr w:type="spellStart"/>
      <w:r w:rsidR="005747B1" w:rsidRPr="000F5686">
        <w:t>ed</w:t>
      </w:r>
      <w:proofErr w:type="spellEnd"/>
      <w:r w:rsidR="005747B1" w:rsidRPr="000F5686">
        <w:t xml:space="preserve">), </w:t>
      </w:r>
      <w:r w:rsidR="005747B1" w:rsidRPr="000F5686">
        <w:rPr>
          <w:i/>
        </w:rPr>
        <w:t>Atlas des Dévotions</w:t>
      </w:r>
      <w:r w:rsidR="005747B1" w:rsidRPr="000F5686">
        <w:t>, à paraître, Editions de l’Ecole française de Rome</w:t>
      </w:r>
      <w:bookmarkEnd w:id="2"/>
      <w:r w:rsidR="008B72D8">
        <w:t>, à  paraître</w:t>
      </w:r>
    </w:p>
    <w:p w:rsidR="00002401" w:rsidRDefault="00002401">
      <w:pPr>
        <w:spacing w:before="1"/>
        <w:ind w:left="116"/>
        <w:jc w:val="both"/>
      </w:pPr>
    </w:p>
    <w:p w:rsidR="00002401" w:rsidRPr="00565A14" w:rsidRDefault="00002401">
      <w:pPr>
        <w:spacing w:before="1"/>
        <w:ind w:left="116"/>
        <w:jc w:val="both"/>
        <w:rPr>
          <w:lang w:val="de-DE"/>
        </w:rPr>
      </w:pPr>
      <w:r w:rsidRPr="00565A14">
        <w:rPr>
          <w:lang w:val="de-DE"/>
        </w:rPr>
        <w:t xml:space="preserve">. </w:t>
      </w:r>
    </w:p>
    <w:p w:rsidR="00C8266B" w:rsidRPr="00565A14" w:rsidRDefault="00C8266B">
      <w:pPr>
        <w:pStyle w:val="Corpsdetexte"/>
        <w:spacing w:before="5"/>
        <w:rPr>
          <w:lang w:val="de-DE"/>
        </w:rPr>
      </w:pPr>
    </w:p>
    <w:p w:rsidR="00C8266B" w:rsidRPr="00565A14" w:rsidRDefault="00F2096D">
      <w:pPr>
        <w:pStyle w:val="Titre1"/>
        <w:rPr>
          <w:lang w:val="de-DE"/>
        </w:rPr>
      </w:pPr>
      <w:proofErr w:type="spellStart"/>
      <w:r w:rsidRPr="00565A14">
        <w:rPr>
          <w:lang w:val="de-DE"/>
        </w:rPr>
        <w:t>Parus</w:t>
      </w:r>
      <w:proofErr w:type="spellEnd"/>
      <w:r w:rsidRPr="00565A14">
        <w:rPr>
          <w:lang w:val="de-DE"/>
        </w:rPr>
        <w:t>:</w:t>
      </w:r>
    </w:p>
    <w:p w:rsidR="00252C09" w:rsidRPr="00565A14" w:rsidRDefault="00252C09">
      <w:pPr>
        <w:pStyle w:val="Titre1"/>
        <w:rPr>
          <w:lang w:val="de-DE"/>
        </w:rPr>
      </w:pPr>
    </w:p>
    <w:p w:rsidR="00565A14" w:rsidRPr="00565A14" w:rsidRDefault="00565A14" w:rsidP="00565A14">
      <w:pPr>
        <w:pStyle w:val="Titre1"/>
        <w:rPr>
          <w:lang w:val="de-DE"/>
        </w:rPr>
      </w:pPr>
    </w:p>
    <w:p w:rsidR="00565A14" w:rsidRPr="00565A14" w:rsidRDefault="00565A14" w:rsidP="00565A14">
      <w:pPr>
        <w:pStyle w:val="Titre1"/>
        <w:rPr>
          <w:b w:val="0"/>
          <w:lang w:val="de-DE"/>
        </w:rPr>
      </w:pPr>
      <w:r w:rsidRPr="00565A14">
        <w:rPr>
          <w:b w:val="0"/>
          <w:lang w:val="de-DE"/>
        </w:rPr>
        <w:t>-« Jenseits der Völker und der Nationen, jenseits des Absolutismus: Die Auflösung des Staates als</w:t>
      </w:r>
      <w:r w:rsidRPr="00565A14">
        <w:rPr>
          <w:b w:val="0"/>
          <w:spacing w:val="1"/>
          <w:lang w:val="de-DE"/>
        </w:rPr>
        <w:t xml:space="preserve"> </w:t>
      </w:r>
      <w:r w:rsidRPr="00565A14">
        <w:rPr>
          <w:b w:val="0"/>
          <w:lang w:val="de-DE"/>
        </w:rPr>
        <w:t>Forschungsgegenstandes »,</w:t>
      </w:r>
      <w:r w:rsidRPr="00565A14">
        <w:rPr>
          <w:lang w:val="de-DE"/>
        </w:rPr>
        <w:t xml:space="preserve"> </w:t>
      </w:r>
      <w:r w:rsidRPr="00565A14">
        <w:rPr>
          <w:i/>
          <w:lang w:val="de-DE"/>
        </w:rPr>
        <w:t>i</w:t>
      </w:r>
      <w:r>
        <w:rPr>
          <w:b w:val="0"/>
          <w:lang w:val="de-DE"/>
        </w:rPr>
        <w:t xml:space="preserve">n: </w:t>
      </w:r>
      <w:r w:rsidRPr="00565A14">
        <w:rPr>
          <w:b w:val="0"/>
          <w:lang w:val="de-DE"/>
        </w:rPr>
        <w:t>Thomas Winkelbauer</w:t>
      </w:r>
      <w:r>
        <w:rPr>
          <w:b w:val="0"/>
          <w:lang w:val="de-DE"/>
        </w:rPr>
        <w:t xml:space="preserve"> (</w:t>
      </w:r>
      <w:proofErr w:type="spellStart"/>
      <w:r>
        <w:rPr>
          <w:b w:val="0"/>
          <w:lang w:val="de-DE"/>
        </w:rPr>
        <w:t>ed</w:t>
      </w:r>
      <w:proofErr w:type="spellEnd"/>
      <w:r w:rsidRPr="00565A14">
        <w:rPr>
          <w:b w:val="0"/>
          <w:i/>
          <w:lang w:val="de-DE"/>
        </w:rPr>
        <w:t>.), Die Habsburgermonarchie (1526-1918) als Gegenstand der modernen Historiographie -Jahrestagung 2013</w:t>
      </w:r>
      <w:r>
        <w:rPr>
          <w:b w:val="0"/>
          <w:lang w:val="de-DE"/>
        </w:rPr>
        <w:t xml:space="preserve"> (</w:t>
      </w:r>
      <w:r w:rsidRPr="00565A14">
        <w:rPr>
          <w:b w:val="0"/>
          <w:lang w:val="de-DE"/>
        </w:rPr>
        <w:t>Veröffentlichungen des Instituts für Österreichische Geschichtsforschung</w:t>
      </w:r>
      <w:r>
        <w:rPr>
          <w:b w:val="0"/>
          <w:lang w:val="de-DE"/>
        </w:rPr>
        <w:t>-</w:t>
      </w:r>
      <w:r w:rsidRPr="00565A14">
        <w:rPr>
          <w:b w:val="0"/>
          <w:lang w:val="de-DE"/>
        </w:rPr>
        <w:t>Band 078</w:t>
      </w:r>
      <w:r>
        <w:rPr>
          <w:b w:val="0"/>
          <w:lang w:val="de-DE"/>
        </w:rPr>
        <w:t xml:space="preserve">), Wien, Böhlau, 2022, p. 366–378. </w:t>
      </w:r>
    </w:p>
    <w:p w:rsidR="00565A14" w:rsidRPr="00565A14" w:rsidRDefault="00565A14">
      <w:pPr>
        <w:pStyle w:val="Titre1"/>
        <w:rPr>
          <w:lang w:val="de-DE"/>
        </w:rPr>
      </w:pPr>
    </w:p>
    <w:p w:rsidR="00BA7E2F" w:rsidRPr="000F5686" w:rsidRDefault="00BA7E2F" w:rsidP="00BA7E2F">
      <w:pPr>
        <w:pStyle w:val="Corpsdetexte"/>
        <w:spacing w:before="176" w:line="259" w:lineRule="auto"/>
        <w:ind w:left="116" w:right="137"/>
        <w:rPr>
          <w:lang w:val="en-GB"/>
        </w:rPr>
      </w:pPr>
      <w:r w:rsidRPr="000F5686">
        <w:rPr>
          <w:lang w:val="en-GB"/>
        </w:rPr>
        <w:t xml:space="preserve">-“ Liturgical Books after the Council of Trent: Implementation, Innovation and the Formation of Local Tradition in the Habsburg Lands”, in: </w:t>
      </w:r>
      <w:r w:rsidR="008B72D8">
        <w:rPr>
          <w:lang w:val="en-GB"/>
        </w:rPr>
        <w:t xml:space="preserve">Elizabeth </w:t>
      </w:r>
      <w:proofErr w:type="spellStart"/>
      <w:r w:rsidR="008B72D8">
        <w:rPr>
          <w:lang w:val="en-GB"/>
        </w:rPr>
        <w:t>Dillingburg</w:t>
      </w:r>
      <w:proofErr w:type="spellEnd"/>
      <w:r w:rsidR="008B72D8">
        <w:rPr>
          <w:lang w:val="en-GB"/>
        </w:rPr>
        <w:t xml:space="preserve">, </w:t>
      </w:r>
      <w:r w:rsidRPr="000F5686">
        <w:rPr>
          <w:lang w:val="en-GB"/>
        </w:rPr>
        <w:t>Howard</w:t>
      </w:r>
      <w:r w:rsidRPr="000F5686">
        <w:rPr>
          <w:spacing w:val="1"/>
          <w:lang w:val="en-GB"/>
        </w:rPr>
        <w:t xml:space="preserve"> </w:t>
      </w:r>
      <w:proofErr w:type="spellStart"/>
      <w:r w:rsidRPr="000F5686">
        <w:rPr>
          <w:lang w:val="en-GB"/>
        </w:rPr>
        <w:t>Louthan</w:t>
      </w:r>
      <w:proofErr w:type="spellEnd"/>
      <w:r w:rsidRPr="000F5686">
        <w:rPr>
          <w:lang w:val="en-GB"/>
        </w:rPr>
        <w:t>, Drew Thomas (</w:t>
      </w:r>
      <w:r w:rsidR="008B72D8">
        <w:rPr>
          <w:lang w:val="en-GB"/>
        </w:rPr>
        <w:t>e</w:t>
      </w:r>
      <w:r w:rsidRPr="000F5686">
        <w:rPr>
          <w:lang w:val="en-GB"/>
        </w:rPr>
        <w:t xml:space="preserve">d.) </w:t>
      </w:r>
      <w:r w:rsidR="008B72D8" w:rsidRPr="008B72D8">
        <w:rPr>
          <w:i/>
          <w:lang w:val="en-GB"/>
        </w:rPr>
        <w:t>Print Culture  at the Crossroads</w:t>
      </w:r>
      <w:r w:rsidR="008B72D8">
        <w:rPr>
          <w:lang w:val="en-GB"/>
        </w:rPr>
        <w:t xml:space="preserve">. </w:t>
      </w:r>
      <w:r w:rsidRPr="000F5686">
        <w:rPr>
          <w:i/>
          <w:lang w:val="en-GB"/>
        </w:rPr>
        <w:t xml:space="preserve">The Book </w:t>
      </w:r>
      <w:r w:rsidR="008B72D8">
        <w:rPr>
          <w:i/>
          <w:lang w:val="en-GB"/>
        </w:rPr>
        <w:t>and</w:t>
      </w:r>
      <w:r w:rsidRPr="000F5686">
        <w:rPr>
          <w:i/>
          <w:lang w:val="en-GB"/>
        </w:rPr>
        <w:t xml:space="preserve"> Central Europe</w:t>
      </w:r>
      <w:r w:rsidRPr="000F5686">
        <w:rPr>
          <w:lang w:val="en-GB"/>
        </w:rPr>
        <w:t>, Brill, New-</w:t>
      </w:r>
      <w:r w:rsidRPr="000F5686">
        <w:rPr>
          <w:spacing w:val="-52"/>
          <w:lang w:val="en-GB"/>
        </w:rPr>
        <w:t xml:space="preserve"> </w:t>
      </w:r>
      <w:r w:rsidRPr="000F5686">
        <w:rPr>
          <w:lang w:val="en-GB"/>
        </w:rPr>
        <w:t>York</w:t>
      </w:r>
      <w:r w:rsidRPr="000F5686">
        <w:rPr>
          <w:spacing w:val="-3"/>
          <w:lang w:val="en-GB"/>
        </w:rPr>
        <w:t xml:space="preserve"> </w:t>
      </w:r>
      <w:r w:rsidRPr="000F5686">
        <w:rPr>
          <w:lang w:val="en-GB"/>
        </w:rPr>
        <w:t>Leiden</w:t>
      </w:r>
      <w:r w:rsidRPr="000F5686">
        <w:rPr>
          <w:spacing w:val="-3"/>
          <w:lang w:val="en-GB"/>
        </w:rPr>
        <w:t xml:space="preserve"> </w:t>
      </w:r>
      <w:r w:rsidRPr="000F5686">
        <w:rPr>
          <w:lang w:val="en-GB"/>
        </w:rPr>
        <w:t>(Collection</w:t>
      </w:r>
      <w:r w:rsidRPr="000F5686">
        <w:rPr>
          <w:spacing w:val="-3"/>
          <w:lang w:val="en-GB"/>
        </w:rPr>
        <w:t xml:space="preserve"> </w:t>
      </w:r>
      <w:proofErr w:type="gramStart"/>
      <w:r w:rsidRPr="000F5686">
        <w:rPr>
          <w:lang w:val="en-GB"/>
        </w:rPr>
        <w:t>The</w:t>
      </w:r>
      <w:proofErr w:type="gramEnd"/>
      <w:r w:rsidRPr="000F5686">
        <w:rPr>
          <w:lang w:val="en-GB"/>
        </w:rPr>
        <w:t xml:space="preserve"> Library</w:t>
      </w:r>
      <w:r w:rsidRPr="000F5686">
        <w:rPr>
          <w:spacing w:val="-3"/>
          <w:lang w:val="en-GB"/>
        </w:rPr>
        <w:t xml:space="preserve"> </w:t>
      </w:r>
      <w:r w:rsidRPr="000F5686">
        <w:rPr>
          <w:lang w:val="en-GB"/>
        </w:rPr>
        <w:t>of the</w:t>
      </w:r>
      <w:r w:rsidRPr="000F5686">
        <w:rPr>
          <w:spacing w:val="-2"/>
          <w:lang w:val="en-GB"/>
        </w:rPr>
        <w:t xml:space="preserve"> </w:t>
      </w:r>
      <w:r w:rsidRPr="000F5686">
        <w:rPr>
          <w:lang w:val="en-GB"/>
        </w:rPr>
        <w:t>Written</w:t>
      </w:r>
      <w:r w:rsidRPr="000F5686">
        <w:rPr>
          <w:spacing w:val="-3"/>
          <w:lang w:val="en-GB"/>
        </w:rPr>
        <w:t xml:space="preserve"> </w:t>
      </w:r>
      <w:r w:rsidRPr="000F5686">
        <w:rPr>
          <w:lang w:val="en-GB"/>
        </w:rPr>
        <w:t>Word</w:t>
      </w:r>
      <w:r w:rsidRPr="000F5686">
        <w:rPr>
          <w:spacing w:val="-3"/>
          <w:lang w:val="en-GB"/>
        </w:rPr>
        <w:t xml:space="preserve"> </w:t>
      </w:r>
      <w:r w:rsidRPr="000F5686">
        <w:rPr>
          <w:lang w:val="en-GB"/>
        </w:rPr>
        <w:t>)</w:t>
      </w:r>
      <w:r w:rsidR="008B72D8">
        <w:rPr>
          <w:lang w:val="en-GB"/>
        </w:rPr>
        <w:t>, p. 105- 121</w:t>
      </w:r>
    </w:p>
    <w:p w:rsidR="00BA7E2F" w:rsidRDefault="00BA7E2F">
      <w:pPr>
        <w:pStyle w:val="Titre1"/>
        <w:rPr>
          <w:lang w:val="en-GB"/>
        </w:rPr>
      </w:pPr>
    </w:p>
    <w:p w:rsidR="00BA7E2F" w:rsidRPr="008B72D8" w:rsidRDefault="008B72D8">
      <w:pPr>
        <w:pStyle w:val="Titre1"/>
        <w:rPr>
          <w:b w:val="0"/>
          <w:lang w:val="en-GB"/>
        </w:rPr>
      </w:pPr>
      <w:r w:rsidRPr="008B72D8">
        <w:rPr>
          <w:b w:val="0"/>
          <w:lang w:val="en-GB"/>
        </w:rPr>
        <w:t xml:space="preserve">« Heresy: Fighting the Crypto-Protestant “Infestation” under the Habsburg Monarchy» in : </w:t>
      </w:r>
      <w:r w:rsidRPr="008B72D8">
        <w:rPr>
          <w:b w:val="0"/>
          <w:i/>
          <w:lang w:val="en-GB"/>
        </w:rPr>
        <w:t>Cultures of Contagion</w:t>
      </w:r>
      <w:r w:rsidRPr="008B72D8">
        <w:rPr>
          <w:b w:val="0"/>
          <w:lang w:val="en-GB"/>
        </w:rPr>
        <w:t xml:space="preserve">; edited by </w:t>
      </w:r>
      <w:proofErr w:type="spellStart"/>
      <w:r w:rsidRPr="008B72D8">
        <w:rPr>
          <w:b w:val="0"/>
          <w:lang w:val="en-GB"/>
        </w:rPr>
        <w:t>Béatrice</w:t>
      </w:r>
      <w:proofErr w:type="spellEnd"/>
      <w:r w:rsidRPr="008B72D8">
        <w:rPr>
          <w:b w:val="0"/>
          <w:lang w:val="en-GB"/>
        </w:rPr>
        <w:t xml:space="preserve"> </w:t>
      </w:r>
      <w:proofErr w:type="spellStart"/>
      <w:r w:rsidRPr="008B72D8">
        <w:rPr>
          <w:b w:val="0"/>
          <w:lang w:val="en-GB"/>
        </w:rPr>
        <w:t>Delaurenti</w:t>
      </w:r>
      <w:proofErr w:type="spellEnd"/>
      <w:r w:rsidRPr="008B72D8">
        <w:rPr>
          <w:b w:val="0"/>
          <w:lang w:val="en-GB"/>
        </w:rPr>
        <w:t xml:space="preserve"> and Thomas Le Roux, The MIT Press, Cambridge, </w:t>
      </w:r>
      <w:proofErr w:type="spellStart"/>
      <w:r w:rsidRPr="008B72D8">
        <w:rPr>
          <w:b w:val="0"/>
          <w:lang w:val="en-GB"/>
        </w:rPr>
        <w:t>Massachusetss</w:t>
      </w:r>
      <w:proofErr w:type="spellEnd"/>
      <w:r w:rsidRPr="008B72D8">
        <w:rPr>
          <w:b w:val="0"/>
          <w:lang w:val="en-GB"/>
        </w:rPr>
        <w:t>, London, England, 2021, p. 115-120</w:t>
      </w:r>
    </w:p>
    <w:p w:rsidR="00BA7E2F" w:rsidRDefault="00BA7E2F">
      <w:pPr>
        <w:pStyle w:val="Titre1"/>
        <w:rPr>
          <w:lang w:val="en-GB"/>
        </w:rPr>
      </w:pPr>
    </w:p>
    <w:p w:rsidR="00054EF3" w:rsidRPr="00054EF3" w:rsidRDefault="00054EF3" w:rsidP="00054EF3">
      <w:pPr>
        <w:pStyle w:val="Titre1"/>
        <w:numPr>
          <w:ilvl w:val="0"/>
          <w:numId w:val="1"/>
        </w:numPr>
      </w:pPr>
      <w:r w:rsidRPr="00256526">
        <w:rPr>
          <w:b w:val="0"/>
          <w:lang w:val="en-GB"/>
        </w:rPr>
        <w:t xml:space="preserve"> « </w:t>
      </w:r>
      <w:proofErr w:type="spellStart"/>
      <w:r w:rsidRPr="00256526">
        <w:rPr>
          <w:b w:val="0"/>
          <w:lang w:val="en-GB"/>
        </w:rPr>
        <w:t>Knihy</w:t>
      </w:r>
      <w:proofErr w:type="spellEnd"/>
      <w:r w:rsidRPr="00256526">
        <w:rPr>
          <w:b w:val="0"/>
          <w:lang w:val="en-GB"/>
        </w:rPr>
        <w:t xml:space="preserve"> </w:t>
      </w:r>
      <w:proofErr w:type="spellStart"/>
      <w:r w:rsidRPr="00256526">
        <w:rPr>
          <w:b w:val="0"/>
          <w:lang w:val="en-GB"/>
        </w:rPr>
        <w:t>určené</w:t>
      </w:r>
      <w:proofErr w:type="spellEnd"/>
      <w:r w:rsidRPr="00256526">
        <w:rPr>
          <w:b w:val="0"/>
          <w:lang w:val="en-GB"/>
        </w:rPr>
        <w:t xml:space="preserve"> </w:t>
      </w:r>
      <w:proofErr w:type="spellStart"/>
      <w:r w:rsidRPr="00256526">
        <w:rPr>
          <w:b w:val="0"/>
          <w:lang w:val="en-GB"/>
        </w:rPr>
        <w:t>ženám</w:t>
      </w:r>
      <w:proofErr w:type="spellEnd"/>
      <w:r w:rsidRPr="00256526">
        <w:rPr>
          <w:b w:val="0"/>
          <w:lang w:val="en-GB"/>
        </w:rPr>
        <w:t xml:space="preserve">, </w:t>
      </w:r>
      <w:proofErr w:type="spellStart"/>
      <w:r w:rsidRPr="00256526">
        <w:rPr>
          <w:b w:val="0"/>
          <w:lang w:val="en-GB"/>
        </w:rPr>
        <w:t>knihy</w:t>
      </w:r>
      <w:proofErr w:type="spellEnd"/>
      <w:r w:rsidRPr="00256526">
        <w:rPr>
          <w:b w:val="0"/>
          <w:lang w:val="en-GB"/>
        </w:rPr>
        <w:t xml:space="preserve"> </w:t>
      </w:r>
      <w:proofErr w:type="spellStart"/>
      <w:r w:rsidRPr="00256526">
        <w:rPr>
          <w:b w:val="0"/>
          <w:lang w:val="en-GB"/>
        </w:rPr>
        <w:t>určené</w:t>
      </w:r>
      <w:proofErr w:type="spellEnd"/>
      <w:r w:rsidRPr="00256526">
        <w:rPr>
          <w:b w:val="0"/>
          <w:lang w:val="en-GB"/>
        </w:rPr>
        <w:t xml:space="preserve"> </w:t>
      </w:r>
      <w:proofErr w:type="spellStart"/>
      <w:r w:rsidRPr="00256526">
        <w:rPr>
          <w:b w:val="0"/>
          <w:lang w:val="en-GB"/>
        </w:rPr>
        <w:t>mužům</w:t>
      </w:r>
      <w:proofErr w:type="spellEnd"/>
      <w:r w:rsidRPr="00256526">
        <w:rPr>
          <w:b w:val="0"/>
          <w:lang w:val="en-GB"/>
        </w:rPr>
        <w:t xml:space="preserve">. </w:t>
      </w:r>
      <w:proofErr w:type="spellStart"/>
      <w:r w:rsidRPr="00054EF3">
        <w:rPr>
          <w:b w:val="0"/>
        </w:rPr>
        <w:t>Úvahy</w:t>
      </w:r>
      <w:proofErr w:type="spellEnd"/>
      <w:r w:rsidRPr="00054EF3">
        <w:rPr>
          <w:b w:val="0"/>
        </w:rPr>
        <w:t xml:space="preserve"> o </w:t>
      </w:r>
      <w:proofErr w:type="spellStart"/>
      <w:r w:rsidRPr="00054EF3">
        <w:rPr>
          <w:b w:val="0"/>
        </w:rPr>
        <w:t>modlitebních</w:t>
      </w:r>
      <w:proofErr w:type="spellEnd"/>
      <w:r w:rsidRPr="00054EF3">
        <w:rPr>
          <w:b w:val="0"/>
        </w:rPr>
        <w:t xml:space="preserve"> </w:t>
      </w:r>
      <w:proofErr w:type="spellStart"/>
      <w:r w:rsidRPr="00054EF3">
        <w:rPr>
          <w:b w:val="0"/>
        </w:rPr>
        <w:t>knihách</w:t>
      </w:r>
      <w:proofErr w:type="spellEnd"/>
      <w:r w:rsidRPr="00054EF3">
        <w:rPr>
          <w:b w:val="0"/>
        </w:rPr>
        <w:t xml:space="preserve"> v </w:t>
      </w:r>
      <w:proofErr w:type="spellStart"/>
      <w:r w:rsidRPr="00054EF3">
        <w:rPr>
          <w:b w:val="0"/>
        </w:rPr>
        <w:t>Čechách</w:t>
      </w:r>
      <w:proofErr w:type="spellEnd"/>
      <w:r w:rsidRPr="00054EF3">
        <w:rPr>
          <w:b w:val="0"/>
        </w:rPr>
        <w:t xml:space="preserve"> v 18. </w:t>
      </w:r>
      <w:proofErr w:type="spellStart"/>
      <w:proofErr w:type="gramStart"/>
      <w:r w:rsidRPr="00054EF3">
        <w:rPr>
          <w:b w:val="0"/>
        </w:rPr>
        <w:t>století</w:t>
      </w:r>
      <w:proofErr w:type="spellEnd"/>
      <w:proofErr w:type="gramEnd"/>
      <w:r w:rsidRPr="00054EF3">
        <w:rPr>
          <w:b w:val="0"/>
        </w:rPr>
        <w:t xml:space="preserve"> » (Livres pour les femmes et pour les hommes. </w:t>
      </w:r>
      <w:r w:rsidRPr="00256526">
        <w:rPr>
          <w:b w:val="0"/>
        </w:rPr>
        <w:t>Réflexions sur les livre</w:t>
      </w:r>
      <w:r>
        <w:rPr>
          <w:b w:val="0"/>
        </w:rPr>
        <w:t>s</w:t>
      </w:r>
      <w:r w:rsidRPr="00256526">
        <w:rPr>
          <w:b w:val="0"/>
        </w:rPr>
        <w:t xml:space="preserve"> de</w:t>
      </w:r>
      <w:r>
        <w:rPr>
          <w:b w:val="0"/>
        </w:rPr>
        <w:t xml:space="preserve"> prière en Bohême au </w:t>
      </w:r>
      <w:proofErr w:type="spellStart"/>
      <w:r w:rsidRPr="00256526">
        <w:rPr>
          <w:b w:val="0"/>
          <w:smallCaps/>
        </w:rPr>
        <w:t>xviii</w:t>
      </w:r>
      <w:r w:rsidRPr="00256526">
        <w:rPr>
          <w:b w:val="0"/>
          <w:vertAlign w:val="superscript"/>
        </w:rPr>
        <w:t>e</w:t>
      </w:r>
      <w:proofErr w:type="spellEnd"/>
      <w:r>
        <w:rPr>
          <w:b w:val="0"/>
        </w:rPr>
        <w:t xml:space="preserve"> siècle)</w:t>
      </w:r>
      <w:r w:rsidRPr="00256526">
        <w:rPr>
          <w:b w:val="0"/>
        </w:rPr>
        <w:t xml:space="preserve">, in : </w:t>
      </w:r>
      <w:proofErr w:type="spellStart"/>
      <w:r w:rsidRPr="00256526">
        <w:rPr>
          <w:b w:val="0"/>
        </w:rPr>
        <w:t>Jiřina</w:t>
      </w:r>
      <w:proofErr w:type="spellEnd"/>
      <w:r w:rsidRPr="00256526">
        <w:rPr>
          <w:b w:val="0"/>
        </w:rPr>
        <w:t xml:space="preserve"> </w:t>
      </w:r>
      <w:proofErr w:type="spellStart"/>
      <w:r w:rsidRPr="00256526">
        <w:rPr>
          <w:b w:val="0"/>
        </w:rPr>
        <w:t>Šmejkálová</w:t>
      </w:r>
      <w:proofErr w:type="spellEnd"/>
      <w:r w:rsidRPr="00256526">
        <w:rPr>
          <w:b w:val="0"/>
        </w:rPr>
        <w:t xml:space="preserve"> (</w:t>
      </w:r>
      <w:proofErr w:type="spellStart"/>
      <w:r w:rsidRPr="00256526">
        <w:rPr>
          <w:b w:val="0"/>
        </w:rPr>
        <w:t>ed</w:t>
      </w:r>
      <w:proofErr w:type="spellEnd"/>
      <w:r w:rsidRPr="00256526">
        <w:rPr>
          <w:b w:val="0"/>
        </w:rPr>
        <w:t xml:space="preserve">.), </w:t>
      </w:r>
      <w:r w:rsidRPr="00256526">
        <w:rPr>
          <w:b w:val="0"/>
          <w:i/>
        </w:rPr>
        <w:t xml:space="preserve">Co </w:t>
      </w:r>
      <w:proofErr w:type="spellStart"/>
      <w:r w:rsidRPr="00256526">
        <w:rPr>
          <w:b w:val="0"/>
          <w:i/>
        </w:rPr>
        <w:t>jsou</w:t>
      </w:r>
      <w:proofErr w:type="spellEnd"/>
      <w:r w:rsidRPr="00256526">
        <w:rPr>
          <w:b w:val="0"/>
          <w:i/>
        </w:rPr>
        <w:t xml:space="preserve"> </w:t>
      </w:r>
      <w:proofErr w:type="spellStart"/>
      <w:r w:rsidRPr="00256526">
        <w:rPr>
          <w:b w:val="0"/>
          <w:i/>
        </w:rPr>
        <w:t>dějiny</w:t>
      </w:r>
      <w:proofErr w:type="spellEnd"/>
      <w:r w:rsidRPr="00256526">
        <w:rPr>
          <w:b w:val="0"/>
          <w:i/>
        </w:rPr>
        <w:t xml:space="preserve"> </w:t>
      </w:r>
      <w:proofErr w:type="spellStart"/>
      <w:r w:rsidRPr="00256526">
        <w:rPr>
          <w:b w:val="0"/>
          <w:i/>
        </w:rPr>
        <w:t>knihy</w:t>
      </w:r>
      <w:proofErr w:type="spellEnd"/>
      <w:r w:rsidRPr="00256526">
        <w:rPr>
          <w:b w:val="0"/>
          <w:i/>
        </w:rPr>
        <w:t xml:space="preserve"> ?</w:t>
      </w:r>
      <w:r w:rsidRPr="00256526">
        <w:rPr>
          <w:b w:val="0"/>
        </w:rPr>
        <w:t xml:space="preserve"> </w:t>
      </w:r>
      <w:proofErr w:type="spellStart"/>
      <w:r w:rsidRPr="00054EF3">
        <w:rPr>
          <w:b w:val="0"/>
          <w:i/>
        </w:rPr>
        <w:t>Antologie</w:t>
      </w:r>
      <w:proofErr w:type="spellEnd"/>
      <w:r w:rsidRPr="00054EF3">
        <w:rPr>
          <w:b w:val="0"/>
          <w:i/>
        </w:rPr>
        <w:t xml:space="preserve"> </w:t>
      </w:r>
      <w:proofErr w:type="spellStart"/>
      <w:r w:rsidRPr="00054EF3">
        <w:rPr>
          <w:b w:val="0"/>
          <w:i/>
        </w:rPr>
        <w:t>textů</w:t>
      </w:r>
      <w:proofErr w:type="spellEnd"/>
      <w:r w:rsidRPr="00054EF3">
        <w:rPr>
          <w:b w:val="0"/>
          <w:i/>
        </w:rPr>
        <w:t xml:space="preserve"> k </w:t>
      </w:r>
      <w:proofErr w:type="spellStart"/>
      <w:r w:rsidRPr="00054EF3">
        <w:rPr>
          <w:b w:val="0"/>
          <w:i/>
        </w:rPr>
        <w:t>dějinám</w:t>
      </w:r>
      <w:proofErr w:type="spellEnd"/>
      <w:r w:rsidRPr="00054EF3">
        <w:rPr>
          <w:b w:val="0"/>
          <w:i/>
        </w:rPr>
        <w:t xml:space="preserve"> a </w:t>
      </w:r>
      <w:proofErr w:type="spellStart"/>
      <w:r w:rsidRPr="00054EF3">
        <w:rPr>
          <w:b w:val="0"/>
          <w:i/>
        </w:rPr>
        <w:t>teorii</w:t>
      </w:r>
      <w:proofErr w:type="spellEnd"/>
      <w:r w:rsidRPr="00054EF3">
        <w:rPr>
          <w:b w:val="0"/>
          <w:i/>
        </w:rPr>
        <w:t xml:space="preserve"> </w:t>
      </w:r>
      <w:proofErr w:type="spellStart"/>
      <w:r w:rsidRPr="00054EF3">
        <w:rPr>
          <w:b w:val="0"/>
          <w:i/>
        </w:rPr>
        <w:t>knižní</w:t>
      </w:r>
      <w:proofErr w:type="spellEnd"/>
      <w:r w:rsidRPr="00054EF3">
        <w:rPr>
          <w:b w:val="0"/>
          <w:i/>
        </w:rPr>
        <w:t xml:space="preserve"> </w:t>
      </w:r>
      <w:proofErr w:type="spellStart"/>
      <w:r w:rsidRPr="00054EF3">
        <w:rPr>
          <w:b w:val="0"/>
          <w:i/>
        </w:rPr>
        <w:t>kultury</w:t>
      </w:r>
      <w:proofErr w:type="spellEnd"/>
      <w:r>
        <w:rPr>
          <w:b w:val="0"/>
        </w:rPr>
        <w:t xml:space="preserve"> </w:t>
      </w:r>
      <w:r w:rsidRPr="004077A7">
        <w:rPr>
          <w:b w:val="0"/>
        </w:rPr>
        <w:t xml:space="preserve">(Qu’est-ce que l’histoire du </w:t>
      </w:r>
      <w:proofErr w:type="gramStart"/>
      <w:r w:rsidRPr="004077A7">
        <w:rPr>
          <w:b w:val="0"/>
        </w:rPr>
        <w:t>livre?</w:t>
      </w:r>
      <w:proofErr w:type="gramEnd"/>
      <w:r>
        <w:rPr>
          <w:b w:val="0"/>
        </w:rPr>
        <w:t xml:space="preserve"> Anthologie de textes sur l’histoire et la théorie de la culture du livre</w:t>
      </w:r>
      <w:r w:rsidRPr="004077A7">
        <w:rPr>
          <w:b w:val="0"/>
        </w:rPr>
        <w:t>), Prague, Academia, 2022, p. 118-140</w:t>
      </w:r>
    </w:p>
    <w:p w:rsidR="00054EF3" w:rsidRPr="00054EF3" w:rsidRDefault="00054EF3">
      <w:pPr>
        <w:pStyle w:val="Titre1"/>
      </w:pPr>
    </w:p>
    <w:p w:rsidR="001A09E9" w:rsidRDefault="001A09E9">
      <w:pPr>
        <w:pStyle w:val="Titre1"/>
        <w:rPr>
          <w:b w:val="0"/>
          <w:lang w:val="en-GB"/>
        </w:rPr>
      </w:pPr>
      <w:r w:rsidRPr="001A09E9">
        <w:rPr>
          <w:b w:val="0"/>
          <w:lang w:val="en-GB"/>
        </w:rPr>
        <w:t xml:space="preserve">- Isabelle </w:t>
      </w:r>
      <w:proofErr w:type="spellStart"/>
      <w:r w:rsidRPr="001A09E9">
        <w:rPr>
          <w:b w:val="0"/>
          <w:lang w:val="en-GB"/>
        </w:rPr>
        <w:t>Backouche</w:t>
      </w:r>
      <w:proofErr w:type="spellEnd"/>
      <w:r w:rsidRPr="001A09E9">
        <w:rPr>
          <w:b w:val="0"/>
          <w:lang w:val="en-GB"/>
        </w:rPr>
        <w:t xml:space="preserve">, Fanny </w:t>
      </w:r>
      <w:proofErr w:type="spellStart"/>
      <w:r w:rsidRPr="001A09E9">
        <w:rPr>
          <w:b w:val="0"/>
          <w:lang w:val="en-GB"/>
        </w:rPr>
        <w:t>Cosandey</w:t>
      </w:r>
      <w:proofErr w:type="spellEnd"/>
      <w:r w:rsidRPr="001A09E9">
        <w:rPr>
          <w:b w:val="0"/>
          <w:lang w:val="en-GB"/>
        </w:rPr>
        <w:t>, Marie-</w:t>
      </w:r>
      <w:proofErr w:type="spellStart"/>
      <w:r w:rsidRPr="001A09E9">
        <w:rPr>
          <w:b w:val="0"/>
          <w:lang w:val="en-GB"/>
        </w:rPr>
        <w:t>Élizabeth</w:t>
      </w:r>
      <w:proofErr w:type="spellEnd"/>
      <w:r w:rsidRPr="001A09E9">
        <w:rPr>
          <w:b w:val="0"/>
          <w:lang w:val="en-GB"/>
        </w:rPr>
        <w:t xml:space="preserve"> Ducreux, Christophe </w:t>
      </w:r>
      <w:proofErr w:type="spellStart"/>
      <w:r w:rsidRPr="001A09E9">
        <w:rPr>
          <w:b w:val="0"/>
          <w:lang w:val="en-GB"/>
        </w:rPr>
        <w:t>Duhamelle</w:t>
      </w:r>
      <w:proofErr w:type="spellEnd"/>
      <w:r w:rsidRPr="001A09E9">
        <w:rPr>
          <w:b w:val="0"/>
          <w:lang w:val="en-GB"/>
        </w:rPr>
        <w:t xml:space="preserve">, </w:t>
      </w:r>
      <w:proofErr w:type="spellStart"/>
      <w:r w:rsidRPr="001A09E9">
        <w:rPr>
          <w:b w:val="0"/>
          <w:lang w:val="en-GB"/>
        </w:rPr>
        <w:t>Élie</w:t>
      </w:r>
      <w:proofErr w:type="spellEnd"/>
      <w:r w:rsidRPr="001A09E9">
        <w:rPr>
          <w:b w:val="0"/>
          <w:lang w:val="en-GB"/>
        </w:rPr>
        <w:t xml:space="preserve"> Haddad, Laurent Joly</w:t>
      </w:r>
      <w:r w:rsidRPr="001A09E9">
        <w:rPr>
          <w:lang w:val="en-GB"/>
        </w:rPr>
        <w:t xml:space="preserve">, </w:t>
      </w:r>
      <w:r>
        <w:rPr>
          <w:lang w:val="en-GB"/>
        </w:rPr>
        <w:t>“</w:t>
      </w:r>
      <w:r w:rsidRPr="001A09E9">
        <w:rPr>
          <w:b w:val="0"/>
          <w:lang w:val="en-GB"/>
        </w:rPr>
        <w:t>Borders, Thresholds, Boundaries: A Social History of Categorizations. Introduction</w:t>
      </w:r>
      <w:r>
        <w:rPr>
          <w:b w:val="0"/>
          <w:lang w:val="en-GB"/>
        </w:rPr>
        <w:t xml:space="preserve">”, in: </w:t>
      </w:r>
      <w:bookmarkStart w:id="3" w:name="_Hlk67420193"/>
      <w:r w:rsidRPr="001A09E9">
        <w:rPr>
          <w:b w:val="0"/>
          <w:i/>
          <w:lang w:val="en-GB"/>
        </w:rPr>
        <w:t>Borders, Thresholds, Boundaries: A Social History of Categorizations</w:t>
      </w:r>
      <w:r w:rsidRPr="001A09E9">
        <w:rPr>
          <w:b w:val="0"/>
          <w:lang w:val="en-GB"/>
        </w:rPr>
        <w:t xml:space="preserve">, </w:t>
      </w:r>
      <w:proofErr w:type="spellStart"/>
      <w:r w:rsidRPr="001A09E9">
        <w:rPr>
          <w:b w:val="0"/>
          <w:i/>
          <w:lang w:val="en-GB"/>
        </w:rPr>
        <w:t>L’Atelier</w:t>
      </w:r>
      <w:proofErr w:type="spellEnd"/>
      <w:r w:rsidRPr="001A09E9">
        <w:rPr>
          <w:b w:val="0"/>
          <w:i/>
          <w:lang w:val="en-GB"/>
        </w:rPr>
        <w:t xml:space="preserve"> bis du CRH</w:t>
      </w:r>
      <w:r w:rsidRPr="001A09E9">
        <w:rPr>
          <w:b w:val="0"/>
          <w:lang w:val="en-GB"/>
        </w:rPr>
        <w:t xml:space="preserve"> 22bis, 2021</w:t>
      </w:r>
      <w:bookmarkEnd w:id="3"/>
    </w:p>
    <w:p w:rsidR="001A09E9" w:rsidRPr="00BE7F6A" w:rsidRDefault="00096A53">
      <w:pPr>
        <w:pStyle w:val="Titre1"/>
      </w:pPr>
      <w:hyperlink r:id="rId9" w:history="1">
        <w:r w:rsidR="001A09E9" w:rsidRPr="001A09E9">
          <w:rPr>
            <w:b w:val="0"/>
            <w:bCs w:val="0"/>
            <w:color w:val="0000FF"/>
            <w:u w:val="single"/>
          </w:rPr>
          <w:t>https://doi.org/10.4000/acrh.12040</w:t>
        </w:r>
      </w:hyperlink>
    </w:p>
    <w:p w:rsidR="001A09E9" w:rsidRPr="00BE7F6A" w:rsidRDefault="001A09E9">
      <w:pPr>
        <w:pStyle w:val="Titre1"/>
      </w:pPr>
    </w:p>
    <w:p w:rsidR="00E10656" w:rsidRPr="000F5686" w:rsidRDefault="00252C09" w:rsidP="00E10656">
      <w:pPr>
        <w:pStyle w:val="NormalWeb"/>
        <w:spacing w:before="0" w:beforeAutospacing="0" w:after="0" w:afterAutospacing="0"/>
        <w:ind w:firstLine="116"/>
        <w:jc w:val="both"/>
        <w:rPr>
          <w:sz w:val="22"/>
          <w:szCs w:val="22"/>
        </w:rPr>
      </w:pPr>
      <w:r w:rsidRPr="000F5686">
        <w:rPr>
          <w:sz w:val="22"/>
          <w:szCs w:val="22"/>
        </w:rPr>
        <w:t>-</w:t>
      </w:r>
      <w:r w:rsidR="00E10656" w:rsidRPr="000F5686">
        <w:rPr>
          <w:sz w:val="22"/>
          <w:szCs w:val="22"/>
        </w:rPr>
        <w:t xml:space="preserve"> Isabelle </w:t>
      </w:r>
      <w:proofErr w:type="spellStart"/>
      <w:r w:rsidR="00E10656" w:rsidRPr="000F5686">
        <w:rPr>
          <w:sz w:val="22"/>
          <w:szCs w:val="22"/>
        </w:rPr>
        <w:t>Backouche</w:t>
      </w:r>
      <w:proofErr w:type="spellEnd"/>
      <w:r w:rsidR="00E10656" w:rsidRPr="000F5686">
        <w:rPr>
          <w:sz w:val="22"/>
          <w:szCs w:val="22"/>
        </w:rPr>
        <w:t xml:space="preserve">, Fanny </w:t>
      </w:r>
      <w:proofErr w:type="spellStart"/>
      <w:r w:rsidR="00E10656" w:rsidRPr="000F5686">
        <w:rPr>
          <w:sz w:val="22"/>
          <w:szCs w:val="22"/>
        </w:rPr>
        <w:t>Cosandey</w:t>
      </w:r>
      <w:proofErr w:type="spellEnd"/>
      <w:r w:rsidR="00E10656" w:rsidRPr="000F5686">
        <w:rPr>
          <w:sz w:val="22"/>
          <w:szCs w:val="22"/>
        </w:rPr>
        <w:t xml:space="preserve">, </w:t>
      </w:r>
      <w:proofErr w:type="spellStart"/>
      <w:r w:rsidR="00E10656" w:rsidRPr="000F5686">
        <w:rPr>
          <w:sz w:val="22"/>
          <w:szCs w:val="22"/>
        </w:rPr>
        <w:t>Marie-Élizabeth</w:t>
      </w:r>
      <w:proofErr w:type="spellEnd"/>
      <w:r w:rsidR="00E10656" w:rsidRPr="000F5686">
        <w:rPr>
          <w:sz w:val="22"/>
          <w:szCs w:val="22"/>
        </w:rPr>
        <w:t xml:space="preserve"> Ducreux, Christophe </w:t>
      </w:r>
      <w:proofErr w:type="spellStart"/>
      <w:r w:rsidR="00E10656" w:rsidRPr="000F5686">
        <w:rPr>
          <w:sz w:val="22"/>
          <w:szCs w:val="22"/>
        </w:rPr>
        <w:t>Duhamelle</w:t>
      </w:r>
      <w:proofErr w:type="spellEnd"/>
      <w:r w:rsidR="00E10656" w:rsidRPr="000F5686">
        <w:rPr>
          <w:sz w:val="22"/>
          <w:szCs w:val="22"/>
        </w:rPr>
        <w:t xml:space="preserve">, Élie Haddad, Laurent Joly, Frontières, Seuils, Limites : histoire sociale des catégorisations, « Introduction ». </w:t>
      </w:r>
      <w:r w:rsidR="00E10656" w:rsidRPr="000F5686">
        <w:rPr>
          <w:i/>
          <w:color w:val="000000"/>
          <w:sz w:val="22"/>
          <w:szCs w:val="22"/>
        </w:rPr>
        <w:t>Frontières, Seuils, Limites : histoire sociale des catégorisations</w:t>
      </w:r>
      <w:r w:rsidR="00E10656" w:rsidRPr="000F5686">
        <w:rPr>
          <w:color w:val="000000"/>
          <w:sz w:val="22"/>
          <w:szCs w:val="22"/>
        </w:rPr>
        <w:t xml:space="preserve">. </w:t>
      </w:r>
      <w:r w:rsidR="00E10656" w:rsidRPr="000F5686">
        <w:rPr>
          <w:i/>
          <w:sz w:val="22"/>
          <w:szCs w:val="22"/>
        </w:rPr>
        <w:t>L’Atelier bis du CRH</w:t>
      </w:r>
      <w:r w:rsidR="00E10656" w:rsidRPr="000F5686">
        <w:rPr>
          <w:sz w:val="22"/>
          <w:szCs w:val="22"/>
        </w:rPr>
        <w:t>, 2020-21bis, mis en ligne octobre 2020 ;</w:t>
      </w:r>
    </w:p>
    <w:p w:rsidR="00E10656" w:rsidRPr="00BA7E2F" w:rsidRDefault="00096A53" w:rsidP="00E10656">
      <w:pPr>
        <w:pStyle w:val="NormalWeb"/>
        <w:spacing w:before="0" w:beforeAutospacing="0" w:after="0" w:afterAutospacing="0"/>
        <w:jc w:val="both"/>
        <w:rPr>
          <w:sz w:val="22"/>
          <w:szCs w:val="22"/>
          <w:lang w:val="en-GB"/>
        </w:rPr>
      </w:pPr>
      <w:hyperlink r:id="rId10" w:history="1">
        <w:r w:rsidR="001A09E9" w:rsidRPr="00BA7E2F">
          <w:rPr>
            <w:rStyle w:val="Lienhypertexte"/>
            <w:sz w:val="22"/>
            <w:szCs w:val="22"/>
            <w:lang w:val="en-GB"/>
          </w:rPr>
          <w:t>https://doi.org/10.4000/acrh.10717</w:t>
        </w:r>
      </w:hyperlink>
    </w:p>
    <w:p w:rsidR="00E10656" w:rsidRPr="00BA7E2F" w:rsidRDefault="00E10656" w:rsidP="00E10656">
      <w:pPr>
        <w:pStyle w:val="NormalWeb"/>
        <w:spacing w:before="0" w:beforeAutospacing="0" w:after="0" w:afterAutospacing="0"/>
        <w:jc w:val="both"/>
        <w:rPr>
          <w:sz w:val="22"/>
          <w:szCs w:val="22"/>
          <w:lang w:val="en-GB"/>
        </w:rPr>
      </w:pPr>
    </w:p>
    <w:p w:rsidR="001A09E9" w:rsidRDefault="001A09E9" w:rsidP="00E10656">
      <w:pPr>
        <w:pStyle w:val="NormalWeb"/>
        <w:spacing w:before="0" w:beforeAutospacing="0" w:after="0" w:afterAutospacing="0"/>
        <w:jc w:val="both"/>
        <w:rPr>
          <w:sz w:val="22"/>
          <w:szCs w:val="22"/>
          <w:lang w:val="en-GB"/>
        </w:rPr>
      </w:pPr>
      <w:r w:rsidRPr="001A09E9">
        <w:rPr>
          <w:sz w:val="22"/>
          <w:szCs w:val="22"/>
          <w:lang w:val="en-GB"/>
        </w:rPr>
        <w:t>-</w:t>
      </w:r>
      <w:r>
        <w:rPr>
          <w:lang w:val="en-GB"/>
        </w:rPr>
        <w:t>“</w:t>
      </w:r>
      <w:r w:rsidRPr="001A09E9">
        <w:rPr>
          <w:sz w:val="22"/>
          <w:szCs w:val="22"/>
          <w:lang w:val="en-GB"/>
        </w:rPr>
        <w:t xml:space="preserve">Reconstructing the Catholic Church and </w:t>
      </w:r>
      <w:proofErr w:type="spellStart"/>
      <w:r w:rsidRPr="001A09E9">
        <w:rPr>
          <w:sz w:val="22"/>
          <w:szCs w:val="22"/>
          <w:lang w:val="en-GB"/>
        </w:rPr>
        <w:t>Restituting</w:t>
      </w:r>
      <w:proofErr w:type="spellEnd"/>
      <w:r w:rsidRPr="001A09E9">
        <w:rPr>
          <w:sz w:val="22"/>
          <w:szCs w:val="22"/>
          <w:lang w:val="en-GB"/>
        </w:rPr>
        <w:t xml:space="preserve"> the Power of the Sovereign: The Clergy in the Composite Monarchy of the Habsburgs during the Seventeenth Century</w:t>
      </w:r>
      <w:r>
        <w:rPr>
          <w:sz w:val="22"/>
          <w:szCs w:val="22"/>
          <w:lang w:val="en-GB"/>
        </w:rPr>
        <w:t xml:space="preserve">”, in: </w:t>
      </w:r>
      <w:r w:rsidRPr="001A09E9">
        <w:rPr>
          <w:i/>
          <w:sz w:val="22"/>
          <w:szCs w:val="22"/>
          <w:lang w:val="en-GB"/>
        </w:rPr>
        <w:t xml:space="preserve">Borders, Thresholds, Boundaries: A Social History of Categorizations, </w:t>
      </w:r>
      <w:proofErr w:type="spellStart"/>
      <w:r w:rsidRPr="001A09E9">
        <w:rPr>
          <w:i/>
          <w:sz w:val="22"/>
          <w:szCs w:val="22"/>
          <w:lang w:val="en-GB"/>
        </w:rPr>
        <w:t>L’Atelier</w:t>
      </w:r>
      <w:proofErr w:type="spellEnd"/>
      <w:r w:rsidRPr="001A09E9">
        <w:rPr>
          <w:i/>
          <w:sz w:val="22"/>
          <w:szCs w:val="22"/>
          <w:lang w:val="en-GB"/>
        </w:rPr>
        <w:t xml:space="preserve"> bis du CRH</w:t>
      </w:r>
      <w:r w:rsidRPr="001A09E9">
        <w:rPr>
          <w:sz w:val="22"/>
          <w:szCs w:val="22"/>
          <w:lang w:val="en-GB"/>
        </w:rPr>
        <w:t xml:space="preserve"> 22bis, 2021</w:t>
      </w:r>
    </w:p>
    <w:p w:rsidR="001A09E9" w:rsidRDefault="00096A53" w:rsidP="00E10656">
      <w:pPr>
        <w:pStyle w:val="NormalWeb"/>
        <w:spacing w:before="0" w:beforeAutospacing="0" w:after="0" w:afterAutospacing="0"/>
        <w:jc w:val="both"/>
        <w:rPr>
          <w:sz w:val="22"/>
          <w:szCs w:val="22"/>
          <w:lang w:val="en-GB"/>
        </w:rPr>
      </w:pPr>
      <w:hyperlink r:id="rId11" w:history="1">
        <w:r w:rsidR="001A09E9" w:rsidRPr="001A09E9">
          <w:rPr>
            <w:color w:val="0000FF"/>
            <w:sz w:val="22"/>
            <w:szCs w:val="22"/>
            <w:u w:val="single"/>
            <w:lang w:eastAsia="en-US"/>
          </w:rPr>
          <w:t>https://doi.org/10.4000/acrh.12201</w:t>
        </w:r>
      </w:hyperlink>
    </w:p>
    <w:p w:rsidR="001A09E9" w:rsidRPr="001A09E9" w:rsidRDefault="001A09E9" w:rsidP="00E10656">
      <w:pPr>
        <w:pStyle w:val="NormalWeb"/>
        <w:spacing w:before="0" w:beforeAutospacing="0" w:after="0" w:afterAutospacing="0"/>
        <w:jc w:val="both"/>
        <w:rPr>
          <w:sz w:val="22"/>
          <w:szCs w:val="22"/>
          <w:lang w:val="en-GB"/>
        </w:rPr>
      </w:pPr>
    </w:p>
    <w:p w:rsidR="00E10656" w:rsidRPr="000F5686" w:rsidRDefault="00E10656" w:rsidP="00E10656">
      <w:pPr>
        <w:pStyle w:val="NormalWeb"/>
        <w:spacing w:before="0" w:beforeAutospacing="0" w:after="0" w:afterAutospacing="0"/>
        <w:ind w:left="116"/>
        <w:jc w:val="both"/>
        <w:rPr>
          <w:sz w:val="22"/>
          <w:szCs w:val="22"/>
        </w:rPr>
      </w:pPr>
      <w:proofErr w:type="gramStart"/>
      <w:r w:rsidRPr="000F5686">
        <w:rPr>
          <w:sz w:val="22"/>
          <w:szCs w:val="22"/>
        </w:rPr>
        <w:t>-«</w:t>
      </w:r>
      <w:proofErr w:type="gramEnd"/>
      <w:r w:rsidRPr="000F5686">
        <w:rPr>
          <w:sz w:val="22"/>
          <w:szCs w:val="22"/>
        </w:rPr>
        <w:t xml:space="preserve"> Reconstruction de l’Eglise catholique, restitution du pouvoir du souverain : le clergé dans la monarchie composite des Habsbourg au </w:t>
      </w:r>
      <w:proofErr w:type="spellStart"/>
      <w:r w:rsidRPr="000F5686">
        <w:rPr>
          <w:smallCaps/>
          <w:sz w:val="22"/>
          <w:szCs w:val="22"/>
        </w:rPr>
        <w:t>xvii</w:t>
      </w:r>
      <w:r w:rsidRPr="000F5686">
        <w:rPr>
          <w:sz w:val="22"/>
          <w:szCs w:val="22"/>
          <w:vertAlign w:val="superscript"/>
        </w:rPr>
        <w:t>e</w:t>
      </w:r>
      <w:proofErr w:type="spellEnd"/>
      <w:r w:rsidRPr="000F5686">
        <w:rPr>
          <w:sz w:val="22"/>
          <w:szCs w:val="22"/>
          <w:vertAlign w:val="superscript"/>
        </w:rPr>
        <w:t xml:space="preserve"> </w:t>
      </w:r>
      <w:r w:rsidRPr="000F5686">
        <w:rPr>
          <w:sz w:val="22"/>
          <w:szCs w:val="22"/>
        </w:rPr>
        <w:t xml:space="preserve">siècle », </w:t>
      </w:r>
      <w:r w:rsidRPr="000F5686">
        <w:rPr>
          <w:i/>
          <w:color w:val="000000"/>
          <w:sz w:val="22"/>
          <w:szCs w:val="22"/>
        </w:rPr>
        <w:t>Frontières, Seuils, Limites : histoire sociale des catégorisations</w:t>
      </w:r>
      <w:r w:rsidRPr="000F5686">
        <w:rPr>
          <w:color w:val="000000"/>
          <w:sz w:val="22"/>
          <w:szCs w:val="22"/>
        </w:rPr>
        <w:t xml:space="preserve">. </w:t>
      </w:r>
      <w:r w:rsidRPr="000F5686">
        <w:rPr>
          <w:i/>
          <w:sz w:val="22"/>
          <w:szCs w:val="22"/>
        </w:rPr>
        <w:t>L’Atelier bis du CRH</w:t>
      </w:r>
      <w:r w:rsidRPr="000F5686">
        <w:rPr>
          <w:sz w:val="22"/>
          <w:szCs w:val="22"/>
        </w:rPr>
        <w:t>, 2020-21bis, mis en ligne octobre 2020 ;</w:t>
      </w:r>
    </w:p>
    <w:p w:rsidR="00E10656" w:rsidRPr="000F5686" w:rsidRDefault="00096A53" w:rsidP="001A09E9">
      <w:pPr>
        <w:pStyle w:val="NormalWeb"/>
        <w:spacing w:before="0" w:beforeAutospacing="0" w:after="0" w:afterAutospacing="0"/>
        <w:jc w:val="both"/>
        <w:rPr>
          <w:sz w:val="22"/>
          <w:szCs w:val="22"/>
        </w:rPr>
      </w:pPr>
      <w:hyperlink r:id="rId12" w:history="1">
        <w:r w:rsidR="001A09E9" w:rsidRPr="007A1A71">
          <w:rPr>
            <w:rStyle w:val="Lienhypertexte"/>
            <w:sz w:val="22"/>
            <w:szCs w:val="22"/>
          </w:rPr>
          <w:t>https://doi.org/10.4000/acrh.10747</w:t>
        </w:r>
      </w:hyperlink>
    </w:p>
    <w:p w:rsidR="00E10656" w:rsidRPr="000F5686" w:rsidRDefault="00E10656" w:rsidP="00E10656">
      <w:pPr>
        <w:pStyle w:val="NormalWeb"/>
        <w:spacing w:before="0" w:beforeAutospacing="0" w:after="0" w:afterAutospacing="0"/>
        <w:ind w:left="708" w:firstLine="2"/>
        <w:jc w:val="both"/>
        <w:rPr>
          <w:sz w:val="22"/>
          <w:szCs w:val="22"/>
        </w:rPr>
      </w:pPr>
    </w:p>
    <w:p w:rsidR="00E10656" w:rsidRPr="000F5686" w:rsidRDefault="00E10656" w:rsidP="00E10656">
      <w:pPr>
        <w:pStyle w:val="NormalWeb"/>
        <w:spacing w:before="0" w:beforeAutospacing="0" w:after="0" w:afterAutospacing="0"/>
        <w:ind w:firstLine="116"/>
        <w:jc w:val="both"/>
        <w:rPr>
          <w:sz w:val="22"/>
          <w:szCs w:val="22"/>
        </w:rPr>
      </w:pPr>
      <w:proofErr w:type="gramStart"/>
      <w:r w:rsidRPr="000F5686">
        <w:rPr>
          <w:sz w:val="22"/>
          <w:szCs w:val="22"/>
        </w:rPr>
        <w:t>-«</w:t>
      </w:r>
      <w:proofErr w:type="gramEnd"/>
      <w:r w:rsidRPr="000F5686">
        <w:rPr>
          <w:sz w:val="22"/>
          <w:szCs w:val="22"/>
        </w:rPr>
        <w:t> Hérésie</w:t>
      </w:r>
      <w:r w:rsidR="00160C41">
        <w:rPr>
          <w:sz w:val="22"/>
          <w:szCs w:val="22"/>
        </w:rPr>
        <w:t>. Lutter contre l</w:t>
      </w:r>
      <w:proofErr w:type="gramStart"/>
      <w:r w:rsidR="00160C41">
        <w:rPr>
          <w:sz w:val="22"/>
          <w:szCs w:val="22"/>
        </w:rPr>
        <w:t>’«</w:t>
      </w:r>
      <w:proofErr w:type="gramEnd"/>
      <w:r w:rsidR="00160C41">
        <w:rPr>
          <w:sz w:val="22"/>
          <w:szCs w:val="22"/>
        </w:rPr>
        <w:t xml:space="preserve"> infestation » crypto-protestante dans la monarchie des </w:t>
      </w:r>
      <w:proofErr w:type="spellStart"/>
      <w:r w:rsidR="00160C41">
        <w:rPr>
          <w:sz w:val="22"/>
          <w:szCs w:val="22"/>
        </w:rPr>
        <w:t>Hasbourgs</w:t>
      </w:r>
      <w:proofErr w:type="spellEnd"/>
      <w:r w:rsidRPr="000F5686">
        <w:rPr>
          <w:sz w:val="22"/>
          <w:szCs w:val="22"/>
        </w:rPr>
        <w:t xml:space="preserve"> », in : Béatrice </w:t>
      </w:r>
      <w:proofErr w:type="spellStart"/>
      <w:r w:rsidRPr="000F5686">
        <w:rPr>
          <w:sz w:val="22"/>
          <w:szCs w:val="22"/>
        </w:rPr>
        <w:t>Delaurenti</w:t>
      </w:r>
      <w:proofErr w:type="spellEnd"/>
      <w:r w:rsidRPr="000F5686">
        <w:rPr>
          <w:sz w:val="22"/>
          <w:szCs w:val="22"/>
        </w:rPr>
        <w:t xml:space="preserve">, Thomas Leroux (sous la direction de ), </w:t>
      </w:r>
      <w:r w:rsidRPr="000F5686">
        <w:rPr>
          <w:i/>
          <w:sz w:val="22"/>
          <w:szCs w:val="22"/>
        </w:rPr>
        <w:t>De la contagion</w:t>
      </w:r>
      <w:r w:rsidRPr="000F5686">
        <w:rPr>
          <w:sz w:val="22"/>
          <w:szCs w:val="22"/>
        </w:rPr>
        <w:t>, Paris, Vendémiaire, 2020, p. 157-163.</w:t>
      </w:r>
    </w:p>
    <w:p w:rsidR="00C8266B" w:rsidRPr="00565A14" w:rsidRDefault="00F2096D">
      <w:pPr>
        <w:pStyle w:val="Paragraphedeliste"/>
        <w:numPr>
          <w:ilvl w:val="0"/>
          <w:numId w:val="1"/>
        </w:numPr>
        <w:tabs>
          <w:tab w:val="left" w:pos="244"/>
        </w:tabs>
        <w:spacing w:before="177" w:line="259" w:lineRule="auto"/>
        <w:ind w:right="575" w:firstLine="0"/>
        <w:rPr>
          <w:lang w:val="de-DE"/>
        </w:rPr>
      </w:pPr>
      <w:r w:rsidRPr="00565A14">
        <w:rPr>
          <w:lang w:val="de-DE"/>
        </w:rPr>
        <w:t xml:space="preserve">« Salve </w:t>
      </w:r>
      <w:proofErr w:type="spellStart"/>
      <w:r w:rsidRPr="00565A14">
        <w:rPr>
          <w:lang w:val="de-DE"/>
        </w:rPr>
        <w:t>Decus</w:t>
      </w:r>
      <w:proofErr w:type="spellEnd"/>
      <w:r w:rsidRPr="00565A14">
        <w:rPr>
          <w:lang w:val="de-DE"/>
        </w:rPr>
        <w:t xml:space="preserve"> </w:t>
      </w:r>
      <w:proofErr w:type="spellStart"/>
      <w:r w:rsidRPr="00565A14">
        <w:rPr>
          <w:lang w:val="de-DE"/>
        </w:rPr>
        <w:t>Bohemiae</w:t>
      </w:r>
      <w:proofErr w:type="spellEnd"/>
      <w:r w:rsidRPr="00565A14">
        <w:rPr>
          <w:lang w:val="de-DE"/>
        </w:rPr>
        <w:t xml:space="preserve">: Ruhm und Verehrung des hl. Wenzel im 17. Jahrhundert », </w:t>
      </w:r>
      <w:proofErr w:type="gramStart"/>
      <w:r w:rsidRPr="00565A14">
        <w:rPr>
          <w:lang w:val="de-DE"/>
        </w:rPr>
        <w:t>in :</w:t>
      </w:r>
      <w:proofErr w:type="gramEnd"/>
      <w:r w:rsidRPr="00565A14">
        <w:rPr>
          <w:lang w:val="de-DE"/>
        </w:rPr>
        <w:t xml:space="preserve"> Stefan</w:t>
      </w:r>
      <w:r w:rsidRPr="00565A14">
        <w:rPr>
          <w:spacing w:val="-52"/>
          <w:lang w:val="de-DE"/>
        </w:rPr>
        <w:t xml:space="preserve"> </w:t>
      </w:r>
      <w:proofErr w:type="spellStart"/>
      <w:r w:rsidRPr="00565A14">
        <w:rPr>
          <w:lang w:val="de-DE"/>
        </w:rPr>
        <w:t>Samerski</w:t>
      </w:r>
      <w:proofErr w:type="spellEnd"/>
      <w:r w:rsidRPr="00565A14">
        <w:rPr>
          <w:lang w:val="de-DE"/>
        </w:rPr>
        <w:t xml:space="preserve"> (</w:t>
      </w:r>
      <w:proofErr w:type="spellStart"/>
      <w:r w:rsidRPr="00565A14">
        <w:rPr>
          <w:lang w:val="de-DE"/>
        </w:rPr>
        <w:t>éd</w:t>
      </w:r>
      <w:proofErr w:type="spellEnd"/>
      <w:r w:rsidRPr="00565A14">
        <w:rPr>
          <w:lang w:val="de-DE"/>
        </w:rPr>
        <w:t xml:space="preserve">.), </w:t>
      </w:r>
      <w:r w:rsidRPr="00565A14">
        <w:rPr>
          <w:i/>
          <w:lang w:val="de-DE"/>
        </w:rPr>
        <w:t>Wenzel. Protagonist der böhmischen Erinnerungskultur</w:t>
      </w:r>
      <w:r w:rsidRPr="00565A14">
        <w:rPr>
          <w:lang w:val="de-DE"/>
        </w:rPr>
        <w:t>, Verlag Ferdinand von</w:t>
      </w:r>
      <w:r w:rsidRPr="00565A14">
        <w:rPr>
          <w:spacing w:val="1"/>
          <w:lang w:val="de-DE"/>
        </w:rPr>
        <w:t xml:space="preserve"> </w:t>
      </w:r>
      <w:r w:rsidRPr="00565A14">
        <w:rPr>
          <w:lang w:val="de-DE"/>
        </w:rPr>
        <w:t>Schöningh,</w:t>
      </w:r>
      <w:r w:rsidRPr="00565A14">
        <w:rPr>
          <w:spacing w:val="-1"/>
          <w:lang w:val="de-DE"/>
        </w:rPr>
        <w:t xml:space="preserve"> </w:t>
      </w:r>
      <w:r w:rsidRPr="00565A14">
        <w:rPr>
          <w:lang w:val="de-DE"/>
        </w:rPr>
        <w:t>Paderborn,</w:t>
      </w:r>
      <w:r w:rsidRPr="00565A14">
        <w:rPr>
          <w:spacing w:val="-3"/>
          <w:lang w:val="de-DE"/>
        </w:rPr>
        <w:t xml:space="preserve"> </w:t>
      </w:r>
      <w:r w:rsidRPr="00565A14">
        <w:rPr>
          <w:lang w:val="de-DE"/>
        </w:rPr>
        <w:t>2018,</w:t>
      </w:r>
      <w:r w:rsidRPr="00565A14">
        <w:rPr>
          <w:spacing w:val="1"/>
          <w:lang w:val="de-DE"/>
        </w:rPr>
        <w:t xml:space="preserve"> </w:t>
      </w:r>
      <w:r w:rsidRPr="00565A14">
        <w:rPr>
          <w:lang w:val="de-DE"/>
        </w:rPr>
        <w:t>p. 135-160.</w:t>
      </w:r>
    </w:p>
    <w:p w:rsidR="00C8266B" w:rsidRPr="000F5686" w:rsidRDefault="00F2096D">
      <w:pPr>
        <w:pStyle w:val="Corpsdetexte"/>
        <w:spacing w:before="160" w:line="259" w:lineRule="auto"/>
        <w:ind w:left="116" w:right="228" w:firstLine="57"/>
      </w:pPr>
      <w:r w:rsidRPr="000F5686">
        <w:t>« Qu’est-ce qu’un propre des saints dans les « pays de l’empereur » après le Concile de Trente ? Une</w:t>
      </w:r>
      <w:r w:rsidRPr="000F5686">
        <w:rPr>
          <w:spacing w:val="-52"/>
        </w:rPr>
        <w:t xml:space="preserve"> </w:t>
      </w:r>
      <w:r w:rsidRPr="000F5686">
        <w:t xml:space="preserve">comparaison des livres d’offices liturgiques imprimés aux XVIIe et XVIIIe siècles », in : </w:t>
      </w:r>
      <w:proofErr w:type="spellStart"/>
      <w:r w:rsidRPr="000F5686">
        <w:t>István</w:t>
      </w:r>
      <w:proofErr w:type="spellEnd"/>
      <w:r w:rsidRPr="000F5686">
        <w:rPr>
          <w:spacing w:val="1"/>
        </w:rPr>
        <w:t xml:space="preserve"> </w:t>
      </w:r>
      <w:r w:rsidRPr="000F5686">
        <w:t>MONOK, Claire MÁDL (</w:t>
      </w:r>
      <w:proofErr w:type="spellStart"/>
      <w:r w:rsidRPr="000F5686">
        <w:t>réd</w:t>
      </w:r>
      <w:proofErr w:type="spellEnd"/>
      <w:r w:rsidRPr="000F5686">
        <w:t xml:space="preserve">.), </w:t>
      </w:r>
      <w:r w:rsidRPr="000F5686">
        <w:rPr>
          <w:i/>
        </w:rPr>
        <w:t xml:space="preserve">« Ex oriente </w:t>
      </w:r>
      <w:proofErr w:type="spellStart"/>
      <w:r w:rsidRPr="000F5686">
        <w:rPr>
          <w:i/>
        </w:rPr>
        <w:t>amicitia</w:t>
      </w:r>
      <w:proofErr w:type="spellEnd"/>
      <w:r w:rsidRPr="000F5686">
        <w:rPr>
          <w:i/>
        </w:rPr>
        <w:t xml:space="preserve"> ». Mélanges offerts à Frédéric Barbier</w:t>
      </w:r>
      <w:r w:rsidRPr="000F5686">
        <w:t>,</w:t>
      </w:r>
      <w:r w:rsidRPr="000F5686">
        <w:rPr>
          <w:spacing w:val="1"/>
        </w:rPr>
        <w:t xml:space="preserve"> </w:t>
      </w:r>
      <w:r w:rsidRPr="000F5686">
        <w:t xml:space="preserve">Budapest, 2017, Magyar </w:t>
      </w:r>
      <w:proofErr w:type="spellStart"/>
      <w:r w:rsidRPr="000F5686">
        <w:t>Tudományos</w:t>
      </w:r>
      <w:proofErr w:type="spellEnd"/>
      <w:r w:rsidRPr="000F5686">
        <w:t xml:space="preserve"> </w:t>
      </w:r>
      <w:proofErr w:type="spellStart"/>
      <w:r w:rsidRPr="000F5686">
        <w:t>Akadémia</w:t>
      </w:r>
      <w:proofErr w:type="spellEnd"/>
      <w:r w:rsidRPr="000F5686">
        <w:t xml:space="preserve"> </w:t>
      </w:r>
      <w:proofErr w:type="spellStart"/>
      <w:r w:rsidRPr="000F5686">
        <w:t>Könyvtár</w:t>
      </w:r>
      <w:proofErr w:type="spellEnd"/>
      <w:r w:rsidRPr="000F5686">
        <w:t xml:space="preserve"> </w:t>
      </w:r>
      <w:proofErr w:type="spellStart"/>
      <w:r w:rsidRPr="000F5686">
        <w:t>és</w:t>
      </w:r>
      <w:proofErr w:type="spellEnd"/>
      <w:r w:rsidRPr="000F5686">
        <w:t xml:space="preserve"> </w:t>
      </w:r>
      <w:proofErr w:type="spellStart"/>
      <w:r w:rsidRPr="000F5686">
        <w:t>Információs</w:t>
      </w:r>
      <w:proofErr w:type="spellEnd"/>
      <w:r w:rsidRPr="000F5686">
        <w:t xml:space="preserve"> </w:t>
      </w:r>
      <w:proofErr w:type="spellStart"/>
      <w:r w:rsidRPr="000F5686">
        <w:t>Központ</w:t>
      </w:r>
      <w:proofErr w:type="spellEnd"/>
      <w:r w:rsidRPr="000F5686">
        <w:t>, p. 157-234.</w:t>
      </w:r>
      <w:r w:rsidRPr="000F5686">
        <w:rPr>
          <w:spacing w:val="1"/>
        </w:rPr>
        <w:t xml:space="preserve"> </w:t>
      </w:r>
      <w:r w:rsidRPr="000F5686">
        <w:t>(</w:t>
      </w:r>
      <w:proofErr w:type="gramStart"/>
      <w:r w:rsidRPr="000F5686">
        <w:t>version</w:t>
      </w:r>
      <w:proofErr w:type="gramEnd"/>
      <w:r w:rsidRPr="000F5686">
        <w:rPr>
          <w:spacing w:val="-1"/>
        </w:rPr>
        <w:t xml:space="preserve"> </w:t>
      </w:r>
      <w:r w:rsidRPr="000F5686">
        <w:t>longue</w:t>
      </w:r>
      <w:r w:rsidRPr="000F5686">
        <w:rPr>
          <w:spacing w:val="-1"/>
        </w:rPr>
        <w:t xml:space="preserve"> </w:t>
      </w:r>
      <w:r w:rsidRPr="000F5686">
        <w:t>sur</w:t>
      </w:r>
      <w:r w:rsidRPr="000F5686">
        <w:rPr>
          <w:spacing w:val="-1"/>
        </w:rPr>
        <w:t xml:space="preserve"> </w:t>
      </w:r>
      <w:r w:rsidRPr="000F5686">
        <w:t xml:space="preserve">HAL-SHS :. </w:t>
      </w:r>
      <w:hyperlink r:id="rId13">
        <w:r w:rsidRPr="000F5686">
          <w:rPr>
            <w:color w:val="0462C1"/>
            <w:u w:val="single" w:color="0462C1"/>
          </w:rPr>
          <w:t>https://halshs.archives-ouvertes.fr/halshs-01706855</w:t>
        </w:r>
      </w:hyperlink>
    </w:p>
    <w:p w:rsidR="00C8266B" w:rsidRPr="000F5686" w:rsidRDefault="00F2096D">
      <w:pPr>
        <w:pStyle w:val="Paragraphedeliste"/>
        <w:numPr>
          <w:ilvl w:val="0"/>
          <w:numId w:val="1"/>
        </w:numPr>
        <w:tabs>
          <w:tab w:val="left" w:pos="244"/>
        </w:tabs>
        <w:spacing w:before="167" w:line="259" w:lineRule="auto"/>
        <w:ind w:right="179" w:firstLine="0"/>
        <w:rPr>
          <w:lang w:val="en-GB"/>
        </w:rPr>
      </w:pPr>
      <w:r w:rsidRPr="00565A14">
        <w:rPr>
          <w:lang w:val="de-DE"/>
        </w:rPr>
        <w:t xml:space="preserve">« </w:t>
      </w:r>
      <w:proofErr w:type="spellStart"/>
      <w:r w:rsidRPr="00565A14">
        <w:rPr>
          <w:lang w:val="de-DE"/>
        </w:rPr>
        <w:t>Catholice</w:t>
      </w:r>
      <w:proofErr w:type="spellEnd"/>
      <w:r w:rsidRPr="00565A14">
        <w:rPr>
          <w:lang w:val="de-DE"/>
        </w:rPr>
        <w:t xml:space="preserve"> </w:t>
      </w:r>
      <w:proofErr w:type="spellStart"/>
      <w:r w:rsidRPr="00565A14">
        <w:rPr>
          <w:lang w:val="de-DE"/>
        </w:rPr>
        <w:t>educare</w:t>
      </w:r>
      <w:proofErr w:type="spellEnd"/>
      <w:r w:rsidRPr="00565A14">
        <w:rPr>
          <w:lang w:val="de-DE"/>
        </w:rPr>
        <w:t xml:space="preserve">, </w:t>
      </w:r>
      <w:proofErr w:type="spellStart"/>
      <w:r w:rsidRPr="00565A14">
        <w:rPr>
          <w:lang w:val="de-DE"/>
        </w:rPr>
        <w:t>cultum</w:t>
      </w:r>
      <w:proofErr w:type="spellEnd"/>
      <w:r w:rsidRPr="00565A14">
        <w:rPr>
          <w:lang w:val="de-DE"/>
        </w:rPr>
        <w:t xml:space="preserve"> </w:t>
      </w:r>
      <w:proofErr w:type="spellStart"/>
      <w:r w:rsidRPr="00565A14">
        <w:rPr>
          <w:lang w:val="de-DE"/>
        </w:rPr>
        <w:t>sanctorum</w:t>
      </w:r>
      <w:proofErr w:type="spellEnd"/>
      <w:r w:rsidRPr="00565A14">
        <w:rPr>
          <w:lang w:val="de-DE"/>
        </w:rPr>
        <w:t xml:space="preserve"> </w:t>
      </w:r>
      <w:proofErr w:type="spellStart"/>
      <w:r w:rsidRPr="00565A14">
        <w:rPr>
          <w:lang w:val="de-DE"/>
        </w:rPr>
        <w:t>propagare</w:t>
      </w:r>
      <w:proofErr w:type="spellEnd"/>
      <w:r w:rsidRPr="00565A14">
        <w:rPr>
          <w:lang w:val="de-DE"/>
        </w:rPr>
        <w:t xml:space="preserve"> »/ Der Fall des Herrn Putz von </w:t>
      </w:r>
      <w:proofErr w:type="spellStart"/>
      <w:r w:rsidRPr="00565A14">
        <w:rPr>
          <w:lang w:val="de-DE"/>
        </w:rPr>
        <w:t>Adlersthurn</w:t>
      </w:r>
      <w:proofErr w:type="spellEnd"/>
      <w:r w:rsidRPr="00565A14">
        <w:rPr>
          <w:lang w:val="de-DE"/>
        </w:rPr>
        <w:t xml:space="preserve"> als ein</w:t>
      </w:r>
      <w:r w:rsidRPr="00565A14">
        <w:rPr>
          <w:spacing w:val="-52"/>
          <w:lang w:val="de-DE"/>
        </w:rPr>
        <w:t xml:space="preserve"> </w:t>
      </w:r>
      <w:r w:rsidRPr="00565A14">
        <w:rPr>
          <w:lang w:val="de-DE"/>
        </w:rPr>
        <w:t xml:space="preserve">Versuch, die Bedeutung symbolischer Gewalt zu erklären », in: Joachim </w:t>
      </w:r>
      <w:proofErr w:type="spellStart"/>
      <w:r w:rsidRPr="00565A14">
        <w:rPr>
          <w:lang w:val="de-DE"/>
        </w:rPr>
        <w:t>Bahlcke</w:t>
      </w:r>
      <w:proofErr w:type="spellEnd"/>
      <w:r w:rsidRPr="00565A14">
        <w:rPr>
          <w:lang w:val="de-DE"/>
        </w:rPr>
        <w:t xml:space="preserve">, </w:t>
      </w:r>
      <w:proofErr w:type="spellStart"/>
      <w:r w:rsidRPr="00565A14">
        <w:rPr>
          <w:lang w:val="de-DE"/>
        </w:rPr>
        <w:t>Kateřina</w:t>
      </w:r>
      <w:proofErr w:type="spellEnd"/>
      <w:r w:rsidRPr="00565A14">
        <w:rPr>
          <w:lang w:val="de-DE"/>
        </w:rPr>
        <w:t xml:space="preserve"> </w:t>
      </w:r>
      <w:proofErr w:type="spellStart"/>
      <w:r w:rsidRPr="00565A14">
        <w:rPr>
          <w:lang w:val="de-DE"/>
        </w:rPr>
        <w:t>Bobková</w:t>
      </w:r>
      <w:proofErr w:type="spellEnd"/>
      <w:r w:rsidRPr="00565A14">
        <w:rPr>
          <w:lang w:val="de-DE"/>
        </w:rPr>
        <w:t>-</w:t>
      </w:r>
      <w:r w:rsidRPr="00565A14">
        <w:rPr>
          <w:spacing w:val="1"/>
          <w:lang w:val="de-DE"/>
        </w:rPr>
        <w:t xml:space="preserve"> </w:t>
      </w:r>
      <w:proofErr w:type="spellStart"/>
      <w:r w:rsidRPr="00565A14">
        <w:rPr>
          <w:lang w:val="de-DE"/>
        </w:rPr>
        <w:t>Valentová</w:t>
      </w:r>
      <w:proofErr w:type="spellEnd"/>
      <w:r w:rsidRPr="00565A14">
        <w:rPr>
          <w:lang w:val="de-DE"/>
        </w:rPr>
        <w:t xml:space="preserve">, </w:t>
      </w:r>
      <w:proofErr w:type="spellStart"/>
      <w:r w:rsidRPr="00565A14">
        <w:rPr>
          <w:lang w:val="de-DE"/>
        </w:rPr>
        <w:t>Jiří</w:t>
      </w:r>
      <w:proofErr w:type="spellEnd"/>
      <w:r w:rsidRPr="00565A14">
        <w:rPr>
          <w:lang w:val="de-DE"/>
        </w:rPr>
        <w:t xml:space="preserve"> </w:t>
      </w:r>
      <w:proofErr w:type="spellStart"/>
      <w:r w:rsidRPr="00565A14">
        <w:rPr>
          <w:lang w:val="de-DE"/>
        </w:rPr>
        <w:t>Mukulec</w:t>
      </w:r>
      <w:proofErr w:type="spellEnd"/>
      <w:r w:rsidRPr="00565A14">
        <w:rPr>
          <w:lang w:val="de-DE"/>
        </w:rPr>
        <w:t xml:space="preserve"> (dir.), </w:t>
      </w:r>
      <w:proofErr w:type="spellStart"/>
      <w:r w:rsidRPr="00565A14">
        <w:rPr>
          <w:i/>
          <w:lang w:val="de-DE"/>
        </w:rPr>
        <w:t>Religious</w:t>
      </w:r>
      <w:proofErr w:type="spellEnd"/>
      <w:r w:rsidRPr="00565A14">
        <w:rPr>
          <w:i/>
          <w:lang w:val="de-DE"/>
        </w:rPr>
        <w:t xml:space="preserve"> </w:t>
      </w:r>
      <w:proofErr w:type="spellStart"/>
      <w:r w:rsidRPr="00565A14">
        <w:rPr>
          <w:i/>
          <w:lang w:val="de-DE"/>
        </w:rPr>
        <w:t>Violence</w:t>
      </w:r>
      <w:proofErr w:type="spellEnd"/>
      <w:r w:rsidRPr="00565A14">
        <w:rPr>
          <w:i/>
          <w:lang w:val="de-DE"/>
        </w:rPr>
        <w:t xml:space="preserve">, </w:t>
      </w:r>
      <w:proofErr w:type="spellStart"/>
      <w:r w:rsidRPr="00565A14">
        <w:rPr>
          <w:i/>
          <w:lang w:val="de-DE"/>
        </w:rPr>
        <w:t>Confesssional</w:t>
      </w:r>
      <w:proofErr w:type="spellEnd"/>
      <w:r w:rsidRPr="00565A14">
        <w:rPr>
          <w:i/>
          <w:lang w:val="de-DE"/>
        </w:rPr>
        <w:t xml:space="preserve"> </w:t>
      </w:r>
      <w:proofErr w:type="spellStart"/>
      <w:r w:rsidRPr="00565A14">
        <w:rPr>
          <w:i/>
          <w:lang w:val="de-DE"/>
        </w:rPr>
        <w:t>Conflicts</w:t>
      </w:r>
      <w:proofErr w:type="spellEnd"/>
      <w:r w:rsidRPr="00565A14">
        <w:rPr>
          <w:i/>
          <w:lang w:val="de-DE"/>
        </w:rPr>
        <w:t xml:space="preserve"> and Models </w:t>
      </w:r>
      <w:proofErr w:type="spellStart"/>
      <w:r w:rsidRPr="00565A14">
        <w:rPr>
          <w:i/>
          <w:lang w:val="de-DE"/>
        </w:rPr>
        <w:t>for</w:t>
      </w:r>
      <w:proofErr w:type="spellEnd"/>
      <w:r w:rsidRPr="00565A14">
        <w:rPr>
          <w:i/>
          <w:lang w:val="de-DE"/>
        </w:rPr>
        <w:t xml:space="preserve"> </w:t>
      </w:r>
      <w:proofErr w:type="spellStart"/>
      <w:r w:rsidRPr="00565A14">
        <w:rPr>
          <w:i/>
          <w:lang w:val="de-DE"/>
        </w:rPr>
        <w:t>Violence</w:t>
      </w:r>
      <w:proofErr w:type="spellEnd"/>
      <w:r w:rsidRPr="00565A14">
        <w:rPr>
          <w:i/>
          <w:spacing w:val="1"/>
          <w:lang w:val="de-DE"/>
        </w:rPr>
        <w:t xml:space="preserve"> </w:t>
      </w:r>
      <w:proofErr w:type="spellStart"/>
      <w:r w:rsidRPr="00565A14">
        <w:rPr>
          <w:i/>
          <w:lang w:val="de-DE"/>
        </w:rPr>
        <w:t>Prevention</w:t>
      </w:r>
      <w:proofErr w:type="spellEnd"/>
      <w:r w:rsidRPr="00565A14">
        <w:rPr>
          <w:i/>
          <w:lang w:val="de-DE"/>
        </w:rPr>
        <w:t xml:space="preserve"> in Central Europe (15th-18th </w:t>
      </w:r>
      <w:proofErr w:type="spellStart"/>
      <w:r w:rsidRPr="00565A14">
        <w:rPr>
          <w:i/>
          <w:lang w:val="de-DE"/>
        </w:rPr>
        <w:t>Centuries</w:t>
      </w:r>
      <w:proofErr w:type="spellEnd"/>
      <w:r w:rsidRPr="00565A14">
        <w:rPr>
          <w:i/>
          <w:lang w:val="de-DE"/>
        </w:rPr>
        <w:t>) — Religiöse Gewalt, konfessionelle Konflikte und</w:t>
      </w:r>
      <w:r w:rsidRPr="00565A14">
        <w:rPr>
          <w:i/>
          <w:spacing w:val="-52"/>
          <w:lang w:val="de-DE"/>
        </w:rPr>
        <w:t xml:space="preserve"> </w:t>
      </w:r>
      <w:r w:rsidRPr="00565A14">
        <w:rPr>
          <w:i/>
          <w:lang w:val="de-DE"/>
        </w:rPr>
        <w:t xml:space="preserve">Modelle von Gewaltprävention in Mitteleuropa (15.-18. </w:t>
      </w:r>
      <w:proofErr w:type="spellStart"/>
      <w:r w:rsidRPr="000F5686">
        <w:rPr>
          <w:i/>
          <w:lang w:val="en-GB"/>
        </w:rPr>
        <w:t>Jahrhundert</w:t>
      </w:r>
      <w:proofErr w:type="spellEnd"/>
      <w:r w:rsidRPr="000F5686">
        <w:rPr>
          <w:lang w:val="en-GB"/>
        </w:rPr>
        <w:t xml:space="preserve">), Prague-Stuttgart, </w:t>
      </w:r>
      <w:proofErr w:type="spellStart"/>
      <w:r w:rsidRPr="000F5686">
        <w:rPr>
          <w:lang w:val="en-GB"/>
        </w:rPr>
        <w:t>Historický</w:t>
      </w:r>
      <w:proofErr w:type="spellEnd"/>
      <w:r w:rsidRPr="000F5686">
        <w:rPr>
          <w:spacing w:val="1"/>
          <w:lang w:val="en-GB"/>
        </w:rPr>
        <w:t xml:space="preserve"> </w:t>
      </w:r>
      <w:proofErr w:type="spellStart"/>
      <w:r w:rsidRPr="000F5686">
        <w:rPr>
          <w:lang w:val="en-GB"/>
        </w:rPr>
        <w:t>ústav</w:t>
      </w:r>
      <w:proofErr w:type="spellEnd"/>
      <w:r w:rsidRPr="000F5686">
        <w:rPr>
          <w:spacing w:val="-3"/>
          <w:lang w:val="en-GB"/>
        </w:rPr>
        <w:t xml:space="preserve"> </w:t>
      </w:r>
      <w:r w:rsidRPr="000F5686">
        <w:rPr>
          <w:lang w:val="en-GB"/>
        </w:rPr>
        <w:t>– Universität</w:t>
      </w:r>
      <w:r w:rsidRPr="000F5686">
        <w:rPr>
          <w:spacing w:val="-1"/>
          <w:lang w:val="en-GB"/>
        </w:rPr>
        <w:t xml:space="preserve"> </w:t>
      </w:r>
      <w:r w:rsidRPr="000F5686">
        <w:rPr>
          <w:lang w:val="en-GB"/>
        </w:rPr>
        <w:t>Stuttgart, 2017,</w:t>
      </w:r>
      <w:r w:rsidRPr="000F5686">
        <w:rPr>
          <w:spacing w:val="-3"/>
          <w:lang w:val="en-GB"/>
        </w:rPr>
        <w:t xml:space="preserve"> </w:t>
      </w:r>
      <w:r w:rsidRPr="000F5686">
        <w:rPr>
          <w:lang w:val="en-GB"/>
        </w:rPr>
        <w:t>p. 53-70.</w:t>
      </w:r>
    </w:p>
    <w:p w:rsidR="00C8266B" w:rsidRPr="00565A14" w:rsidRDefault="00F2096D">
      <w:pPr>
        <w:pStyle w:val="Paragraphedeliste"/>
        <w:numPr>
          <w:ilvl w:val="0"/>
          <w:numId w:val="1"/>
        </w:numPr>
        <w:tabs>
          <w:tab w:val="left" w:pos="244"/>
        </w:tabs>
        <w:spacing w:before="161" w:line="259" w:lineRule="auto"/>
        <w:ind w:right="166" w:firstLine="0"/>
        <w:rPr>
          <w:lang w:val="de-DE"/>
        </w:rPr>
      </w:pPr>
      <w:r w:rsidRPr="00565A14">
        <w:rPr>
          <w:lang w:val="en-GB"/>
        </w:rPr>
        <w:t xml:space="preserve">« </w:t>
      </w:r>
      <w:proofErr w:type="spellStart"/>
      <w:r w:rsidRPr="00565A14">
        <w:rPr>
          <w:lang w:val="en-GB"/>
        </w:rPr>
        <w:t>Piété</w:t>
      </w:r>
      <w:proofErr w:type="spellEnd"/>
      <w:r w:rsidRPr="00565A14">
        <w:rPr>
          <w:lang w:val="en-GB"/>
        </w:rPr>
        <w:t xml:space="preserve">, service du Prince, </w:t>
      </w:r>
      <w:proofErr w:type="spellStart"/>
      <w:r w:rsidRPr="00565A14">
        <w:rPr>
          <w:lang w:val="en-GB"/>
        </w:rPr>
        <w:t>écriture</w:t>
      </w:r>
      <w:proofErr w:type="spellEnd"/>
      <w:r w:rsidRPr="00565A14">
        <w:rPr>
          <w:lang w:val="en-GB"/>
        </w:rPr>
        <w:t xml:space="preserve"> et finance: </w:t>
      </w:r>
      <w:proofErr w:type="spellStart"/>
      <w:r w:rsidRPr="00565A14">
        <w:rPr>
          <w:lang w:val="en-GB"/>
        </w:rPr>
        <w:t>l’ascension</w:t>
      </w:r>
      <w:proofErr w:type="spellEnd"/>
      <w:r w:rsidRPr="00565A14">
        <w:rPr>
          <w:lang w:val="en-GB"/>
        </w:rPr>
        <w:t xml:space="preserve"> des Putz von </w:t>
      </w:r>
      <w:proofErr w:type="spellStart"/>
      <w:r w:rsidRPr="00565A14">
        <w:rPr>
          <w:lang w:val="en-GB"/>
        </w:rPr>
        <w:t>Adlersthurn</w:t>
      </w:r>
      <w:proofErr w:type="spellEnd"/>
      <w:r w:rsidRPr="00565A14">
        <w:rPr>
          <w:lang w:val="en-GB"/>
        </w:rPr>
        <w:t>, 1616-1700 », in:</w:t>
      </w:r>
      <w:r w:rsidRPr="00565A14">
        <w:rPr>
          <w:spacing w:val="-52"/>
          <w:lang w:val="en-GB"/>
        </w:rPr>
        <w:t xml:space="preserve"> </w:t>
      </w:r>
      <w:r w:rsidRPr="00565A14">
        <w:rPr>
          <w:lang w:val="en-GB"/>
        </w:rPr>
        <w:t xml:space="preserve">Martin </w:t>
      </w:r>
      <w:proofErr w:type="spellStart"/>
      <w:r w:rsidRPr="00565A14">
        <w:rPr>
          <w:lang w:val="en-GB"/>
        </w:rPr>
        <w:t>Scheutz</w:t>
      </w:r>
      <w:proofErr w:type="spellEnd"/>
      <w:r w:rsidRPr="00565A14">
        <w:rPr>
          <w:lang w:val="en-GB"/>
        </w:rPr>
        <w:t xml:space="preserve">, Katrin Keller, Petr </w:t>
      </w:r>
      <w:proofErr w:type="spellStart"/>
      <w:r w:rsidRPr="00565A14">
        <w:rPr>
          <w:lang w:val="en-GB"/>
        </w:rPr>
        <w:t>Mat´a</w:t>
      </w:r>
      <w:proofErr w:type="spellEnd"/>
      <w:r w:rsidRPr="00565A14">
        <w:rPr>
          <w:lang w:val="en-GB"/>
        </w:rPr>
        <w:t xml:space="preserve"> (</w:t>
      </w:r>
      <w:proofErr w:type="spellStart"/>
      <w:r w:rsidRPr="00565A14">
        <w:rPr>
          <w:lang w:val="en-GB"/>
        </w:rPr>
        <w:t>éd</w:t>
      </w:r>
      <w:proofErr w:type="spellEnd"/>
      <w:r w:rsidRPr="00565A14">
        <w:rPr>
          <w:lang w:val="en-GB"/>
        </w:rPr>
        <w:t xml:space="preserve">.), </w:t>
      </w:r>
      <w:r w:rsidRPr="00565A14">
        <w:rPr>
          <w:i/>
          <w:lang w:val="en-GB"/>
        </w:rPr>
        <w:t xml:space="preserve">Adel und Religion in der </w:t>
      </w:r>
      <w:proofErr w:type="spellStart"/>
      <w:r w:rsidRPr="00565A14">
        <w:rPr>
          <w:i/>
          <w:lang w:val="en-GB"/>
        </w:rPr>
        <w:t>frühneuzeitlichen</w:t>
      </w:r>
      <w:proofErr w:type="spellEnd"/>
      <w:r w:rsidRPr="00565A14">
        <w:rPr>
          <w:i/>
          <w:spacing w:val="1"/>
          <w:lang w:val="en-GB"/>
        </w:rPr>
        <w:t xml:space="preserve"> </w:t>
      </w:r>
      <w:proofErr w:type="spellStart"/>
      <w:r w:rsidRPr="00565A14">
        <w:rPr>
          <w:i/>
          <w:lang w:val="en-GB"/>
        </w:rPr>
        <w:t>Habsburgermonarchie</w:t>
      </w:r>
      <w:proofErr w:type="spellEnd"/>
      <w:r w:rsidRPr="00565A14">
        <w:rPr>
          <w:i/>
          <w:lang w:val="en-GB"/>
        </w:rPr>
        <w:t xml:space="preserve">. </w:t>
      </w:r>
      <w:r w:rsidRPr="00565A14">
        <w:rPr>
          <w:i/>
          <w:lang w:val="de-DE"/>
        </w:rPr>
        <w:t xml:space="preserve">Annäherung an ein </w:t>
      </w:r>
      <w:proofErr w:type="spellStart"/>
      <w:r w:rsidRPr="00565A14">
        <w:rPr>
          <w:i/>
          <w:lang w:val="de-DE"/>
        </w:rPr>
        <w:t>gesamtsösterreichisches</w:t>
      </w:r>
      <w:proofErr w:type="spellEnd"/>
      <w:r w:rsidRPr="00565A14">
        <w:rPr>
          <w:i/>
          <w:lang w:val="de-DE"/>
        </w:rPr>
        <w:t xml:space="preserve"> Thema </w:t>
      </w:r>
      <w:r w:rsidRPr="00565A14">
        <w:rPr>
          <w:lang w:val="de-DE"/>
        </w:rPr>
        <w:t>(Veröffentlichungen des</w:t>
      </w:r>
      <w:r w:rsidRPr="00565A14">
        <w:rPr>
          <w:spacing w:val="1"/>
          <w:lang w:val="de-DE"/>
        </w:rPr>
        <w:t xml:space="preserve"> </w:t>
      </w:r>
      <w:r w:rsidRPr="00565A14">
        <w:rPr>
          <w:lang w:val="de-DE"/>
        </w:rPr>
        <w:t>Instituts</w:t>
      </w:r>
      <w:r w:rsidRPr="00565A14">
        <w:rPr>
          <w:spacing w:val="-1"/>
          <w:lang w:val="de-DE"/>
        </w:rPr>
        <w:t xml:space="preserve"> </w:t>
      </w:r>
      <w:r w:rsidRPr="00565A14">
        <w:rPr>
          <w:lang w:val="de-DE"/>
        </w:rPr>
        <w:t>für Österreichische</w:t>
      </w:r>
      <w:r w:rsidRPr="00565A14">
        <w:rPr>
          <w:spacing w:val="-3"/>
          <w:lang w:val="de-DE"/>
        </w:rPr>
        <w:t xml:space="preserve"> </w:t>
      </w:r>
      <w:r w:rsidRPr="00565A14">
        <w:rPr>
          <w:lang w:val="de-DE"/>
        </w:rPr>
        <w:t>Geschichtsforschung</w:t>
      </w:r>
      <w:r w:rsidRPr="00565A14">
        <w:rPr>
          <w:spacing w:val="-2"/>
          <w:lang w:val="de-DE"/>
        </w:rPr>
        <w:t xml:space="preserve"> </w:t>
      </w:r>
      <w:r w:rsidRPr="00565A14">
        <w:rPr>
          <w:lang w:val="de-DE"/>
        </w:rPr>
        <w:t>68),</w:t>
      </w:r>
      <w:r w:rsidRPr="00565A14">
        <w:rPr>
          <w:spacing w:val="-4"/>
          <w:lang w:val="de-DE"/>
        </w:rPr>
        <w:t xml:space="preserve"> </w:t>
      </w:r>
      <w:r w:rsidRPr="00565A14">
        <w:rPr>
          <w:lang w:val="de-DE"/>
        </w:rPr>
        <w:t>Böhlau</w:t>
      </w:r>
      <w:r w:rsidRPr="00565A14">
        <w:rPr>
          <w:spacing w:val="-2"/>
          <w:lang w:val="de-DE"/>
        </w:rPr>
        <w:t xml:space="preserve"> </w:t>
      </w:r>
      <w:r w:rsidRPr="00565A14">
        <w:rPr>
          <w:lang w:val="de-DE"/>
        </w:rPr>
        <w:t>Verlag, Wien,</w:t>
      </w:r>
      <w:r w:rsidRPr="00565A14">
        <w:rPr>
          <w:spacing w:val="54"/>
          <w:lang w:val="de-DE"/>
        </w:rPr>
        <w:t xml:space="preserve"> </w:t>
      </w:r>
      <w:r w:rsidRPr="00565A14">
        <w:rPr>
          <w:lang w:val="de-DE"/>
        </w:rPr>
        <w:t>2017,</w:t>
      </w:r>
      <w:r w:rsidRPr="00565A14">
        <w:rPr>
          <w:spacing w:val="-1"/>
          <w:lang w:val="de-DE"/>
        </w:rPr>
        <w:t xml:space="preserve"> </w:t>
      </w:r>
      <w:r w:rsidRPr="00565A14">
        <w:rPr>
          <w:lang w:val="de-DE"/>
        </w:rPr>
        <w:t>p. 145-164</w:t>
      </w:r>
    </w:p>
    <w:p w:rsidR="00C8266B" w:rsidRPr="000F5686" w:rsidRDefault="00F2096D">
      <w:pPr>
        <w:pStyle w:val="Paragraphedeliste"/>
        <w:numPr>
          <w:ilvl w:val="0"/>
          <w:numId w:val="1"/>
        </w:numPr>
        <w:tabs>
          <w:tab w:val="left" w:pos="244"/>
        </w:tabs>
        <w:spacing w:before="156"/>
        <w:ind w:right="114" w:firstLine="0"/>
        <w:jc w:val="both"/>
      </w:pPr>
      <w:r w:rsidRPr="000F5686">
        <w:t>«</w:t>
      </w:r>
      <w:r w:rsidRPr="000F5686">
        <w:rPr>
          <w:spacing w:val="-6"/>
        </w:rPr>
        <w:t xml:space="preserve"> </w:t>
      </w:r>
      <w:r w:rsidRPr="000F5686">
        <w:t>Propager</w:t>
      </w:r>
      <w:r w:rsidRPr="000F5686">
        <w:rPr>
          <w:spacing w:val="-3"/>
        </w:rPr>
        <w:t xml:space="preserve"> </w:t>
      </w:r>
      <w:r w:rsidRPr="000F5686">
        <w:t>la</w:t>
      </w:r>
      <w:r w:rsidRPr="000F5686">
        <w:rPr>
          <w:spacing w:val="-3"/>
        </w:rPr>
        <w:t xml:space="preserve"> </w:t>
      </w:r>
      <w:r w:rsidRPr="000F5686">
        <w:t>gloire</w:t>
      </w:r>
      <w:r w:rsidRPr="000F5686">
        <w:rPr>
          <w:spacing w:val="-4"/>
        </w:rPr>
        <w:t xml:space="preserve"> </w:t>
      </w:r>
      <w:r w:rsidRPr="000F5686">
        <w:t>des</w:t>
      </w:r>
      <w:r w:rsidRPr="000F5686">
        <w:rPr>
          <w:spacing w:val="-3"/>
        </w:rPr>
        <w:t xml:space="preserve"> </w:t>
      </w:r>
      <w:r w:rsidRPr="000F5686">
        <w:t>saints</w:t>
      </w:r>
      <w:r w:rsidRPr="000F5686">
        <w:rPr>
          <w:spacing w:val="-3"/>
        </w:rPr>
        <w:t xml:space="preserve"> </w:t>
      </w:r>
      <w:r w:rsidRPr="000F5686">
        <w:t>dans</w:t>
      </w:r>
      <w:r w:rsidRPr="000F5686">
        <w:rPr>
          <w:spacing w:val="-3"/>
        </w:rPr>
        <w:t xml:space="preserve"> </w:t>
      </w:r>
      <w:r w:rsidRPr="000F5686">
        <w:t>des</w:t>
      </w:r>
      <w:r w:rsidRPr="000F5686">
        <w:rPr>
          <w:spacing w:val="-3"/>
        </w:rPr>
        <w:t xml:space="preserve"> </w:t>
      </w:r>
      <w:r w:rsidRPr="000F5686">
        <w:t>provinces</w:t>
      </w:r>
      <w:r w:rsidRPr="000F5686">
        <w:rPr>
          <w:spacing w:val="-5"/>
        </w:rPr>
        <w:t xml:space="preserve"> </w:t>
      </w:r>
      <w:r w:rsidRPr="000F5686">
        <w:t>si</w:t>
      </w:r>
      <w:r w:rsidRPr="000F5686">
        <w:rPr>
          <w:spacing w:val="-2"/>
        </w:rPr>
        <w:t xml:space="preserve"> </w:t>
      </w:r>
      <w:r w:rsidRPr="000F5686">
        <w:t>fort</w:t>
      </w:r>
      <w:r w:rsidRPr="000F5686">
        <w:rPr>
          <w:spacing w:val="-3"/>
        </w:rPr>
        <w:t xml:space="preserve"> </w:t>
      </w:r>
      <w:r w:rsidRPr="000F5686">
        <w:t>éloignées</w:t>
      </w:r>
      <w:r w:rsidRPr="000F5686">
        <w:rPr>
          <w:spacing w:val="-3"/>
        </w:rPr>
        <w:t xml:space="preserve"> </w:t>
      </w:r>
      <w:r w:rsidRPr="000F5686">
        <w:t>de</w:t>
      </w:r>
      <w:r w:rsidRPr="000F5686">
        <w:rPr>
          <w:spacing w:val="-3"/>
        </w:rPr>
        <w:t xml:space="preserve"> </w:t>
      </w:r>
      <w:r w:rsidRPr="000F5686">
        <w:t>Rome.</w:t>
      </w:r>
      <w:r w:rsidRPr="000F5686">
        <w:rPr>
          <w:spacing w:val="-3"/>
        </w:rPr>
        <w:t xml:space="preserve"> </w:t>
      </w:r>
      <w:r w:rsidRPr="000F5686">
        <w:t>L’expansion</w:t>
      </w:r>
      <w:r w:rsidRPr="000F5686">
        <w:rPr>
          <w:spacing w:val="-4"/>
        </w:rPr>
        <w:t xml:space="preserve"> </w:t>
      </w:r>
      <w:r w:rsidRPr="000F5686">
        <w:t>des</w:t>
      </w:r>
      <w:r w:rsidRPr="000F5686">
        <w:rPr>
          <w:spacing w:val="-3"/>
        </w:rPr>
        <w:t xml:space="preserve"> </w:t>
      </w:r>
      <w:r w:rsidRPr="000F5686">
        <w:t>reliques</w:t>
      </w:r>
      <w:r w:rsidRPr="000F5686">
        <w:rPr>
          <w:spacing w:val="-52"/>
        </w:rPr>
        <w:t xml:space="preserve"> </w:t>
      </w:r>
      <w:r w:rsidRPr="000F5686">
        <w:t>des</w:t>
      </w:r>
      <w:r w:rsidRPr="000F5686">
        <w:rPr>
          <w:spacing w:val="1"/>
        </w:rPr>
        <w:t xml:space="preserve"> </w:t>
      </w:r>
      <w:r w:rsidRPr="000F5686">
        <w:t>catacombes</w:t>
      </w:r>
      <w:r w:rsidRPr="000F5686">
        <w:rPr>
          <w:spacing w:val="1"/>
        </w:rPr>
        <w:t xml:space="preserve"> </w:t>
      </w:r>
      <w:r w:rsidRPr="000F5686">
        <w:t>en</w:t>
      </w:r>
      <w:r w:rsidRPr="000F5686">
        <w:rPr>
          <w:spacing w:val="1"/>
        </w:rPr>
        <w:t xml:space="preserve"> </w:t>
      </w:r>
      <w:r w:rsidRPr="000F5686">
        <w:t>Europe</w:t>
      </w:r>
      <w:r w:rsidRPr="000F5686">
        <w:rPr>
          <w:spacing w:val="1"/>
        </w:rPr>
        <w:t xml:space="preserve"> </w:t>
      </w:r>
      <w:r w:rsidRPr="000F5686">
        <w:t>centrale</w:t>
      </w:r>
      <w:r w:rsidRPr="000F5686">
        <w:rPr>
          <w:spacing w:val="1"/>
        </w:rPr>
        <w:t xml:space="preserve"> </w:t>
      </w:r>
      <w:r w:rsidRPr="000F5686">
        <w:t>et</w:t>
      </w:r>
      <w:r w:rsidRPr="000F5686">
        <w:rPr>
          <w:spacing w:val="1"/>
        </w:rPr>
        <w:t xml:space="preserve"> </w:t>
      </w:r>
      <w:r w:rsidRPr="000F5686">
        <w:t>orientale »,</w:t>
      </w:r>
      <w:r w:rsidRPr="000F5686">
        <w:rPr>
          <w:spacing w:val="1"/>
        </w:rPr>
        <w:t xml:space="preserve"> </w:t>
      </w:r>
      <w:r w:rsidRPr="000F5686">
        <w:t>in</w:t>
      </w:r>
      <w:r w:rsidRPr="000F5686">
        <w:rPr>
          <w:spacing w:val="1"/>
        </w:rPr>
        <w:t xml:space="preserve"> </w:t>
      </w:r>
      <w:r w:rsidRPr="000F5686">
        <w:t>:</w:t>
      </w:r>
      <w:r w:rsidRPr="000F5686">
        <w:rPr>
          <w:spacing w:val="1"/>
        </w:rPr>
        <w:t xml:space="preserve"> </w:t>
      </w:r>
      <w:r w:rsidRPr="000F5686">
        <w:t>Stéphane</w:t>
      </w:r>
      <w:r w:rsidRPr="000F5686">
        <w:rPr>
          <w:spacing w:val="1"/>
        </w:rPr>
        <w:t xml:space="preserve"> </w:t>
      </w:r>
      <w:r w:rsidRPr="000F5686">
        <w:t>BACIOCCHI,</w:t>
      </w:r>
      <w:r w:rsidRPr="000F5686">
        <w:rPr>
          <w:spacing w:val="1"/>
        </w:rPr>
        <w:t xml:space="preserve"> </w:t>
      </w:r>
      <w:r w:rsidRPr="000F5686">
        <w:t>Christophe</w:t>
      </w:r>
      <w:r w:rsidRPr="000F5686">
        <w:rPr>
          <w:spacing w:val="1"/>
        </w:rPr>
        <w:t xml:space="preserve"> </w:t>
      </w:r>
      <w:r w:rsidRPr="000F5686">
        <w:t xml:space="preserve">DUHAMELLE (éd.), </w:t>
      </w:r>
      <w:r w:rsidRPr="000F5686">
        <w:rPr>
          <w:i/>
        </w:rPr>
        <w:t>Reliques romaines. Invention et circulation des corps saints des catacombes à</w:t>
      </w:r>
      <w:r w:rsidRPr="000F5686">
        <w:rPr>
          <w:i/>
          <w:spacing w:val="1"/>
        </w:rPr>
        <w:t xml:space="preserve"> </w:t>
      </w:r>
      <w:r w:rsidRPr="000F5686">
        <w:rPr>
          <w:i/>
        </w:rPr>
        <w:t>l’époque</w:t>
      </w:r>
      <w:r w:rsidRPr="000F5686">
        <w:rPr>
          <w:i/>
          <w:spacing w:val="-1"/>
        </w:rPr>
        <w:t xml:space="preserve"> </w:t>
      </w:r>
      <w:r w:rsidRPr="000F5686">
        <w:rPr>
          <w:i/>
        </w:rPr>
        <w:t>moderne</w:t>
      </w:r>
      <w:r w:rsidRPr="000F5686">
        <w:t>, Editions</w:t>
      </w:r>
      <w:r w:rsidRPr="000F5686">
        <w:rPr>
          <w:spacing w:val="-2"/>
        </w:rPr>
        <w:t xml:space="preserve"> </w:t>
      </w:r>
      <w:r w:rsidRPr="000F5686">
        <w:t>de l’Ecole</w:t>
      </w:r>
      <w:r w:rsidRPr="000F5686">
        <w:rPr>
          <w:spacing w:val="-1"/>
        </w:rPr>
        <w:t xml:space="preserve"> </w:t>
      </w:r>
      <w:r w:rsidRPr="000F5686">
        <w:t>Française de Rome, 2016,</w:t>
      </w:r>
      <w:r w:rsidRPr="000F5686">
        <w:rPr>
          <w:spacing w:val="-1"/>
        </w:rPr>
        <w:t xml:space="preserve"> </w:t>
      </w:r>
      <w:r w:rsidRPr="000F5686">
        <w:t>p. 287-370.</w:t>
      </w:r>
    </w:p>
    <w:p w:rsidR="00C8266B" w:rsidRPr="000F5686" w:rsidRDefault="00C8266B">
      <w:pPr>
        <w:pStyle w:val="Corpsdetexte"/>
      </w:pPr>
    </w:p>
    <w:p w:rsidR="00C8266B" w:rsidRPr="000F5686" w:rsidRDefault="00F2096D">
      <w:pPr>
        <w:ind w:left="116" w:right="113"/>
        <w:jc w:val="both"/>
      </w:pPr>
      <w:proofErr w:type="gramStart"/>
      <w:r w:rsidRPr="000F5686">
        <w:rPr>
          <w:spacing w:val="-1"/>
        </w:rPr>
        <w:t>-«</w:t>
      </w:r>
      <w:proofErr w:type="gramEnd"/>
      <w:r w:rsidRPr="000F5686">
        <w:rPr>
          <w:spacing w:val="-3"/>
        </w:rPr>
        <w:t xml:space="preserve"> </w:t>
      </w:r>
      <w:r w:rsidRPr="000F5686">
        <w:rPr>
          <w:spacing w:val="-1"/>
        </w:rPr>
        <w:t>Pour</w:t>
      </w:r>
      <w:r w:rsidRPr="000F5686">
        <w:rPr>
          <w:spacing w:val="-12"/>
        </w:rPr>
        <w:t xml:space="preserve"> </w:t>
      </w:r>
      <w:r w:rsidRPr="000F5686">
        <w:rPr>
          <w:spacing w:val="-1"/>
        </w:rPr>
        <w:t>une</w:t>
      </w:r>
      <w:r w:rsidRPr="000F5686">
        <w:rPr>
          <w:spacing w:val="-12"/>
        </w:rPr>
        <w:t xml:space="preserve"> </w:t>
      </w:r>
      <w:r w:rsidRPr="000F5686">
        <w:rPr>
          <w:spacing w:val="-1"/>
        </w:rPr>
        <w:t>histoire</w:t>
      </w:r>
      <w:r w:rsidRPr="000F5686">
        <w:rPr>
          <w:spacing w:val="-14"/>
        </w:rPr>
        <w:t xml:space="preserve"> </w:t>
      </w:r>
      <w:r w:rsidRPr="000F5686">
        <w:rPr>
          <w:spacing w:val="-1"/>
        </w:rPr>
        <w:t>européenne</w:t>
      </w:r>
      <w:r w:rsidRPr="000F5686">
        <w:rPr>
          <w:spacing w:val="-14"/>
        </w:rPr>
        <w:t xml:space="preserve"> </w:t>
      </w:r>
      <w:r w:rsidRPr="000F5686">
        <w:t>élargie</w:t>
      </w:r>
      <w:r w:rsidRPr="000F5686">
        <w:rPr>
          <w:spacing w:val="-14"/>
        </w:rPr>
        <w:t xml:space="preserve"> </w:t>
      </w:r>
      <w:r w:rsidRPr="000F5686">
        <w:t>des</w:t>
      </w:r>
      <w:r w:rsidRPr="000F5686">
        <w:rPr>
          <w:spacing w:val="-14"/>
        </w:rPr>
        <w:t xml:space="preserve"> </w:t>
      </w:r>
      <w:r w:rsidRPr="000F5686">
        <w:t>patronages</w:t>
      </w:r>
      <w:r w:rsidRPr="000F5686">
        <w:rPr>
          <w:spacing w:val="-14"/>
        </w:rPr>
        <w:t xml:space="preserve"> </w:t>
      </w:r>
      <w:r w:rsidRPr="000F5686">
        <w:t>célestes.</w:t>
      </w:r>
      <w:r w:rsidRPr="000F5686">
        <w:rPr>
          <w:spacing w:val="-12"/>
        </w:rPr>
        <w:t xml:space="preserve"> </w:t>
      </w:r>
      <w:r w:rsidRPr="000F5686">
        <w:t>Introduction.</w:t>
      </w:r>
      <w:r w:rsidRPr="000F5686">
        <w:rPr>
          <w:spacing w:val="-15"/>
        </w:rPr>
        <w:t xml:space="preserve"> </w:t>
      </w:r>
      <w:proofErr w:type="gramStart"/>
      <w:r w:rsidRPr="000F5686">
        <w:t>In:</w:t>
      </w:r>
      <w:proofErr w:type="gramEnd"/>
      <w:r w:rsidRPr="000F5686">
        <w:rPr>
          <w:spacing w:val="-10"/>
        </w:rPr>
        <w:t xml:space="preserve"> </w:t>
      </w:r>
      <w:r w:rsidRPr="000F5686">
        <w:t>M.</w:t>
      </w:r>
      <w:r w:rsidRPr="000F5686">
        <w:rPr>
          <w:spacing w:val="-17"/>
        </w:rPr>
        <w:t xml:space="preserve"> </w:t>
      </w:r>
      <w:r w:rsidRPr="000F5686">
        <w:t>E</w:t>
      </w:r>
      <w:r w:rsidRPr="000F5686">
        <w:rPr>
          <w:spacing w:val="-13"/>
        </w:rPr>
        <w:t xml:space="preserve"> </w:t>
      </w:r>
      <w:r w:rsidRPr="000F5686">
        <w:t>DUCREUX</w:t>
      </w:r>
      <w:r w:rsidRPr="000F5686">
        <w:rPr>
          <w:spacing w:val="-14"/>
        </w:rPr>
        <w:t xml:space="preserve"> </w:t>
      </w:r>
      <w:r w:rsidRPr="000F5686">
        <w:t>(éd.),</w:t>
      </w:r>
      <w:r w:rsidRPr="000F5686">
        <w:rPr>
          <w:spacing w:val="-53"/>
        </w:rPr>
        <w:t xml:space="preserve"> </w:t>
      </w:r>
      <w:r w:rsidRPr="000F5686">
        <w:rPr>
          <w:i/>
        </w:rPr>
        <w:t>Dévotion</w:t>
      </w:r>
      <w:r w:rsidRPr="000F5686">
        <w:rPr>
          <w:i/>
          <w:spacing w:val="1"/>
        </w:rPr>
        <w:t xml:space="preserve"> </w:t>
      </w:r>
      <w:r w:rsidRPr="000F5686">
        <w:rPr>
          <w:i/>
        </w:rPr>
        <w:t>et</w:t>
      </w:r>
      <w:r w:rsidRPr="000F5686">
        <w:rPr>
          <w:i/>
          <w:spacing w:val="1"/>
        </w:rPr>
        <w:t xml:space="preserve"> </w:t>
      </w:r>
      <w:r w:rsidRPr="000F5686">
        <w:rPr>
          <w:i/>
        </w:rPr>
        <w:t>Légitimation.</w:t>
      </w:r>
      <w:r w:rsidRPr="000F5686">
        <w:rPr>
          <w:i/>
          <w:spacing w:val="1"/>
        </w:rPr>
        <w:t xml:space="preserve"> </w:t>
      </w:r>
      <w:r w:rsidRPr="000F5686">
        <w:rPr>
          <w:i/>
        </w:rPr>
        <w:t>Patronages</w:t>
      </w:r>
      <w:r w:rsidRPr="000F5686">
        <w:rPr>
          <w:i/>
          <w:spacing w:val="1"/>
        </w:rPr>
        <w:t xml:space="preserve"> </w:t>
      </w:r>
      <w:r w:rsidRPr="000F5686">
        <w:rPr>
          <w:i/>
        </w:rPr>
        <w:t>sacrés</w:t>
      </w:r>
      <w:r w:rsidRPr="000F5686">
        <w:rPr>
          <w:i/>
          <w:spacing w:val="1"/>
        </w:rPr>
        <w:t xml:space="preserve"> </w:t>
      </w:r>
      <w:r w:rsidRPr="000F5686">
        <w:rPr>
          <w:i/>
        </w:rPr>
        <w:t>dans</w:t>
      </w:r>
      <w:r w:rsidRPr="000F5686">
        <w:rPr>
          <w:i/>
          <w:spacing w:val="1"/>
        </w:rPr>
        <w:t xml:space="preserve"> </w:t>
      </w:r>
      <w:r w:rsidRPr="000F5686">
        <w:rPr>
          <w:i/>
        </w:rPr>
        <w:t>l’Europe</w:t>
      </w:r>
      <w:r w:rsidRPr="000F5686">
        <w:rPr>
          <w:i/>
          <w:spacing w:val="1"/>
        </w:rPr>
        <w:t xml:space="preserve"> </w:t>
      </w:r>
      <w:r w:rsidRPr="000F5686">
        <w:rPr>
          <w:i/>
        </w:rPr>
        <w:t>des</w:t>
      </w:r>
      <w:r w:rsidRPr="000F5686">
        <w:rPr>
          <w:i/>
          <w:spacing w:val="1"/>
        </w:rPr>
        <w:t xml:space="preserve"> </w:t>
      </w:r>
      <w:r w:rsidRPr="000F5686">
        <w:rPr>
          <w:i/>
        </w:rPr>
        <w:t>Habsbourg</w:t>
      </w:r>
      <w:r w:rsidRPr="000F5686">
        <w:t>,</w:t>
      </w:r>
      <w:r w:rsidRPr="000F5686">
        <w:rPr>
          <w:spacing w:val="1"/>
        </w:rPr>
        <w:t xml:space="preserve"> </w:t>
      </w:r>
      <w:r w:rsidRPr="000F5686">
        <w:t>Liège,</w:t>
      </w:r>
      <w:r w:rsidRPr="000F5686">
        <w:rPr>
          <w:spacing w:val="1"/>
        </w:rPr>
        <w:t xml:space="preserve"> </w:t>
      </w:r>
      <w:r w:rsidRPr="000F5686">
        <w:t>Presses</w:t>
      </w:r>
      <w:r w:rsidRPr="000F5686">
        <w:rPr>
          <w:spacing w:val="1"/>
        </w:rPr>
        <w:t xml:space="preserve"> </w:t>
      </w:r>
      <w:r w:rsidRPr="000F5686">
        <w:t>Universitaires</w:t>
      </w:r>
      <w:r w:rsidRPr="000F5686">
        <w:rPr>
          <w:spacing w:val="-1"/>
        </w:rPr>
        <w:t xml:space="preserve"> </w:t>
      </w:r>
      <w:r w:rsidRPr="000F5686">
        <w:t>de Liège, 2016, p. 9-37.</w:t>
      </w:r>
    </w:p>
    <w:p w:rsidR="00D557DA" w:rsidRPr="000F5686" w:rsidRDefault="00D557DA">
      <w:pPr>
        <w:ind w:left="116" w:right="113"/>
        <w:jc w:val="both"/>
      </w:pPr>
    </w:p>
    <w:p w:rsidR="00D557DA" w:rsidRPr="000F5686" w:rsidRDefault="00D557DA">
      <w:pPr>
        <w:ind w:left="116" w:right="113"/>
        <w:jc w:val="both"/>
      </w:pPr>
      <w:r w:rsidRPr="000F5686">
        <w:t xml:space="preserve">Conclusion, in M.E. DUCREUX (éd.), </w:t>
      </w:r>
      <w:r w:rsidRPr="000F5686">
        <w:rPr>
          <w:i/>
        </w:rPr>
        <w:t>Dévotion et Légitimation. Patronages sacrés dans l’Europe des Habsbourg</w:t>
      </w:r>
      <w:r w:rsidRPr="000F5686">
        <w:t>, Liège, Presses Universitaires de Liège, 2016, p. 221-225</w:t>
      </w:r>
    </w:p>
    <w:p w:rsidR="00C8266B" w:rsidRPr="000F5686" w:rsidRDefault="00C8266B">
      <w:pPr>
        <w:pStyle w:val="Corpsdetexte"/>
        <w:spacing w:before="3"/>
      </w:pPr>
    </w:p>
    <w:p w:rsidR="00C8266B" w:rsidRPr="000F5686" w:rsidRDefault="00F2096D">
      <w:pPr>
        <w:spacing w:line="256" w:lineRule="auto"/>
        <w:ind w:left="116" w:right="120"/>
      </w:pPr>
      <w:r w:rsidRPr="000F5686">
        <w:t>-- « L’honneur et le « noviciat » du saint patron de la Bohême : les deux faces d’une reconnaissance de</w:t>
      </w:r>
      <w:r w:rsidRPr="000F5686">
        <w:rPr>
          <w:spacing w:val="-52"/>
        </w:rPr>
        <w:t xml:space="preserve"> </w:t>
      </w:r>
      <w:r w:rsidRPr="000F5686">
        <w:t xml:space="preserve">culte », in : M.E. DUCREUX (éd.), </w:t>
      </w:r>
      <w:r w:rsidRPr="000F5686">
        <w:rPr>
          <w:i/>
        </w:rPr>
        <w:t>Dévotion et Légitimation. Patronages sacrés dans l’Europe des</w:t>
      </w:r>
      <w:r w:rsidRPr="000F5686">
        <w:rPr>
          <w:i/>
          <w:spacing w:val="1"/>
        </w:rPr>
        <w:t xml:space="preserve"> </w:t>
      </w:r>
      <w:r w:rsidRPr="000F5686">
        <w:rPr>
          <w:i/>
        </w:rPr>
        <w:t>Habsbourg</w:t>
      </w:r>
      <w:r w:rsidRPr="000F5686">
        <w:t>,</w:t>
      </w:r>
      <w:r w:rsidRPr="000F5686">
        <w:rPr>
          <w:spacing w:val="-1"/>
        </w:rPr>
        <w:t xml:space="preserve"> </w:t>
      </w:r>
      <w:r w:rsidRPr="000F5686">
        <w:t>Presses Universitaires</w:t>
      </w:r>
      <w:r w:rsidRPr="000F5686">
        <w:rPr>
          <w:spacing w:val="-2"/>
        </w:rPr>
        <w:t xml:space="preserve"> </w:t>
      </w:r>
      <w:r w:rsidRPr="000F5686">
        <w:t>de</w:t>
      </w:r>
      <w:r w:rsidRPr="000F5686">
        <w:rPr>
          <w:spacing w:val="2"/>
        </w:rPr>
        <w:t xml:space="preserve"> </w:t>
      </w:r>
      <w:r w:rsidRPr="000F5686">
        <w:t>Liège, Liège, 2016, p.</w:t>
      </w:r>
      <w:r w:rsidRPr="000F5686">
        <w:rPr>
          <w:spacing w:val="-1"/>
        </w:rPr>
        <w:t xml:space="preserve"> </w:t>
      </w:r>
      <w:r w:rsidRPr="000F5686">
        <w:t>107-128</w:t>
      </w:r>
    </w:p>
    <w:p w:rsidR="00CF6CF7" w:rsidRPr="000F5686" w:rsidRDefault="00CF6CF7">
      <w:pPr>
        <w:spacing w:line="256" w:lineRule="auto"/>
        <w:ind w:left="116" w:right="120"/>
      </w:pPr>
    </w:p>
    <w:p w:rsidR="00CF6CF7" w:rsidRPr="000F5686" w:rsidRDefault="00CF6CF7" w:rsidP="00CF6CF7">
      <w:pPr>
        <w:spacing w:line="256" w:lineRule="auto"/>
        <w:ind w:left="116" w:right="120"/>
      </w:pPr>
      <w:r w:rsidRPr="000F5686">
        <w:t xml:space="preserve">– « Hiérarchiser le ciel à partir de Prague : la redéfinition des patronages locaux en Bohême dans le dernier tiers du XVIIe </w:t>
      </w:r>
      <w:proofErr w:type="gramStart"/>
      <w:r w:rsidRPr="000F5686">
        <w:t>siècle»</w:t>
      </w:r>
      <w:proofErr w:type="gramEnd"/>
      <w:r w:rsidRPr="000F5686">
        <w:t xml:space="preserve">, in : Cécile VINCENT-CASSY, Olivier MARIN (éd.), La Cour Céleste. Actes du colloque international La Cour Céleste. La commémoration collective des saints, entre accumulation des suffrages et communion ecclésiale (époques médiévale et moderne), Villetaneuse et Paris, Université de Paris-XIII et EHESS, 30 mai -2 juin 2012, Turnhout, </w:t>
      </w:r>
      <w:proofErr w:type="spellStart"/>
      <w:r w:rsidRPr="000F5686">
        <w:t>Brépols</w:t>
      </w:r>
      <w:proofErr w:type="spellEnd"/>
      <w:r w:rsidRPr="000F5686">
        <w:t xml:space="preserve"> (collection Etudes du Répertoire Iconographique de la Littérature du Moyen-Âge), 2014, p. 243-258. </w:t>
      </w:r>
    </w:p>
    <w:p w:rsidR="00CF6CF7" w:rsidRPr="000F5686" w:rsidRDefault="00CF6CF7" w:rsidP="00CF6CF7">
      <w:pPr>
        <w:spacing w:line="256" w:lineRule="auto"/>
        <w:ind w:left="116" w:right="120"/>
      </w:pPr>
    </w:p>
    <w:p w:rsidR="00CF6CF7" w:rsidRPr="000F5686" w:rsidRDefault="00CF6CF7" w:rsidP="00CF6CF7">
      <w:pPr>
        <w:spacing w:line="256" w:lineRule="auto"/>
        <w:ind w:left="116" w:right="120"/>
      </w:pPr>
      <w:r w:rsidRPr="000F5686">
        <w:t>- « Translations de corps saints en contexte(s</w:t>
      </w:r>
      <w:proofErr w:type="gramStart"/>
      <w:r w:rsidRPr="000F5686">
        <w:t>):</w:t>
      </w:r>
      <w:proofErr w:type="gramEnd"/>
      <w:r w:rsidRPr="000F5686">
        <w:t xml:space="preserve"> les coulisses d’un cérémonial», in : Des contextes en Histoire (Actes du Forum du CRH 2011), sous la direction de Florent BRAYARD, Paris, 2014 (La Bibliothèque du CRH 2013), p. 209-216.</w:t>
      </w:r>
    </w:p>
    <w:p w:rsidR="00CF6CF7" w:rsidRPr="000F5686" w:rsidRDefault="00CF6CF7" w:rsidP="00CF6CF7">
      <w:pPr>
        <w:spacing w:line="256" w:lineRule="auto"/>
        <w:ind w:left="116" w:right="120"/>
      </w:pPr>
    </w:p>
    <w:p w:rsidR="00CF6CF7" w:rsidRPr="000F5686" w:rsidRDefault="00CF6CF7" w:rsidP="00CF6CF7">
      <w:pPr>
        <w:spacing w:line="256" w:lineRule="auto"/>
        <w:ind w:left="116" w:right="120"/>
      </w:pPr>
      <w:r w:rsidRPr="000F5686">
        <w:t xml:space="preserve">- « Les parcours de « saint » </w:t>
      </w:r>
      <w:proofErr w:type="spellStart"/>
      <w:r w:rsidRPr="000F5686">
        <w:t>Heraclius</w:t>
      </w:r>
      <w:proofErr w:type="spellEnd"/>
      <w:r w:rsidRPr="000F5686">
        <w:t>, Prague 1706-1708 », in : Des contextes en Histoire (Actes du Forum du CRH 2011), sous la direction de Florent BRAYARD, Paris, 2014 (La Bibliothèque du CRH 2013), p. 235-274.</w:t>
      </w:r>
    </w:p>
    <w:p w:rsidR="00CF6CF7" w:rsidRPr="000F5686" w:rsidRDefault="00CF6CF7" w:rsidP="00CF6CF7">
      <w:pPr>
        <w:spacing w:line="256" w:lineRule="auto"/>
        <w:ind w:left="116" w:right="120"/>
      </w:pPr>
      <w:r w:rsidRPr="000F5686">
        <w:t xml:space="preserve"> </w:t>
      </w:r>
    </w:p>
    <w:p w:rsidR="00CF6CF7" w:rsidRPr="000F5686" w:rsidRDefault="00CF6CF7" w:rsidP="00CF6CF7">
      <w:pPr>
        <w:spacing w:line="256" w:lineRule="auto"/>
        <w:ind w:left="116" w:right="120"/>
      </w:pPr>
      <w:r w:rsidRPr="000F5686">
        <w:t>-</w:t>
      </w:r>
      <w:proofErr w:type="gramStart"/>
      <w:r w:rsidRPr="000F5686">
        <w:t xml:space="preserve"> «Les</w:t>
      </w:r>
      <w:proofErr w:type="gramEnd"/>
      <w:r w:rsidRPr="000F5686">
        <w:t xml:space="preserve"> Jésuites comme métaphore de la destruction de la nation tchèque au XIXe siècle» in:  Michel </w:t>
      </w:r>
      <w:proofErr w:type="spellStart"/>
      <w:r w:rsidRPr="000F5686">
        <w:t>Masłowski</w:t>
      </w:r>
      <w:proofErr w:type="spellEnd"/>
      <w:r w:rsidRPr="000F5686">
        <w:t xml:space="preserve"> (sous la direction de ), Religion et identité en Europe centrale, Paris, Belin, 2012, chapitre 10, p. 171-185. </w:t>
      </w:r>
    </w:p>
    <w:p w:rsidR="00CF6CF7" w:rsidRPr="000F5686" w:rsidRDefault="00CF6CF7" w:rsidP="00CF6CF7">
      <w:pPr>
        <w:spacing w:line="256" w:lineRule="auto"/>
        <w:ind w:left="116" w:right="120"/>
      </w:pPr>
    </w:p>
    <w:p w:rsidR="00CF6CF7" w:rsidRPr="000F5686" w:rsidRDefault="00CF6CF7" w:rsidP="00CF6CF7">
      <w:pPr>
        <w:spacing w:line="256" w:lineRule="auto"/>
        <w:ind w:left="116" w:right="120"/>
      </w:pPr>
      <w:r w:rsidRPr="000F5686">
        <w:t xml:space="preserve">- « Les Saints patrons de Bohême : « lieux de mémoire » oubliés et réinventés », in : </w:t>
      </w:r>
      <w:proofErr w:type="spellStart"/>
      <w:r w:rsidRPr="000F5686">
        <w:t>Paměť</w:t>
      </w:r>
      <w:proofErr w:type="spellEnd"/>
      <w:r w:rsidRPr="000F5686">
        <w:t xml:space="preserve"> </w:t>
      </w:r>
      <w:proofErr w:type="spellStart"/>
      <w:r w:rsidRPr="000F5686">
        <w:t>míst</w:t>
      </w:r>
      <w:proofErr w:type="spellEnd"/>
      <w:r w:rsidRPr="000F5686">
        <w:t xml:space="preserve">, </w:t>
      </w:r>
      <w:proofErr w:type="spellStart"/>
      <w:r w:rsidRPr="000F5686">
        <w:t>událostí</w:t>
      </w:r>
      <w:proofErr w:type="spellEnd"/>
      <w:r w:rsidRPr="000F5686">
        <w:t xml:space="preserve"> a </w:t>
      </w:r>
      <w:proofErr w:type="spellStart"/>
      <w:r w:rsidRPr="000F5686">
        <w:t>osobností</w:t>
      </w:r>
      <w:proofErr w:type="spellEnd"/>
      <w:r w:rsidRPr="000F5686">
        <w:t xml:space="preserve"> : Historie </w:t>
      </w:r>
      <w:proofErr w:type="spellStart"/>
      <w:r w:rsidRPr="000F5686">
        <w:t>jako</w:t>
      </w:r>
      <w:proofErr w:type="spellEnd"/>
      <w:r w:rsidRPr="000F5686">
        <w:t xml:space="preserve"> </w:t>
      </w:r>
      <w:proofErr w:type="spellStart"/>
      <w:r w:rsidRPr="000F5686">
        <w:t>identita</w:t>
      </w:r>
      <w:proofErr w:type="spellEnd"/>
      <w:r w:rsidRPr="000F5686">
        <w:t xml:space="preserve"> a </w:t>
      </w:r>
      <w:proofErr w:type="spellStart"/>
      <w:r w:rsidRPr="000F5686">
        <w:t>manipulace</w:t>
      </w:r>
      <w:proofErr w:type="spellEnd"/>
      <w:r w:rsidRPr="000F5686">
        <w:t xml:space="preserve"> (Mémoire des lieux, des événements et des personnes : l’histoire comme identité et manipulation), in : Ivan HLAVÁČKA, Antoine MARÈS, Magdalena POKORNÁ (éd.</w:t>
      </w:r>
      <w:proofErr w:type="gramStart"/>
      <w:r w:rsidRPr="000F5686">
        <w:t>),  Prague</w:t>
      </w:r>
      <w:proofErr w:type="gramEnd"/>
      <w:r w:rsidRPr="000F5686">
        <w:t>, Institut d’Histoire de l’Académie des Sciences, 2012, p. 150-173.</w:t>
      </w:r>
    </w:p>
    <w:p w:rsidR="00CF6CF7" w:rsidRPr="000F5686" w:rsidRDefault="00CF6CF7" w:rsidP="00CF6CF7">
      <w:pPr>
        <w:spacing w:line="256" w:lineRule="auto"/>
        <w:ind w:left="116" w:right="120"/>
      </w:pPr>
    </w:p>
    <w:p w:rsidR="00CF6CF7" w:rsidRPr="000F5686" w:rsidRDefault="00CF6CF7" w:rsidP="00CF6CF7">
      <w:pPr>
        <w:spacing w:line="256" w:lineRule="auto"/>
        <w:ind w:left="116" w:right="120"/>
      </w:pPr>
      <w:proofErr w:type="gramStart"/>
      <w:r w:rsidRPr="000F5686">
        <w:t>-«</w:t>
      </w:r>
      <w:proofErr w:type="gramEnd"/>
      <w:r w:rsidRPr="000F5686">
        <w:t xml:space="preserve"> Les Juifs d’Europe centrale et orientale du XVIe au XVIIIe siècles », in : Les Juifs dans l’histoire. De l’empire d’Alexandre au monde contemporain, éd. </w:t>
      </w:r>
      <w:proofErr w:type="gramStart"/>
      <w:r w:rsidRPr="000F5686">
        <w:t>par</w:t>
      </w:r>
      <w:proofErr w:type="gramEnd"/>
      <w:r w:rsidRPr="000F5686">
        <w:t xml:space="preserve"> Antoine GERMA, Benjamin LELLOUCH et Evelyne PATLAGEAN (†), Paris, Champ Vallon, 2011, p. 331-374.</w:t>
      </w:r>
    </w:p>
    <w:p w:rsidR="00CF6CF7" w:rsidRPr="000F5686" w:rsidRDefault="00CF6CF7" w:rsidP="00CF6CF7">
      <w:pPr>
        <w:spacing w:line="256" w:lineRule="auto"/>
        <w:ind w:left="116" w:right="120"/>
      </w:pPr>
    </w:p>
    <w:p w:rsidR="00CF6CF7" w:rsidRPr="000F5686" w:rsidRDefault="00CF6CF7" w:rsidP="00CF6CF7">
      <w:pPr>
        <w:spacing w:line="256" w:lineRule="auto"/>
        <w:ind w:left="116" w:right="120"/>
      </w:pPr>
      <w:r w:rsidRPr="000F5686">
        <w:t xml:space="preserve">- « Gloire, prestige et liturgie au XVIIe siècle : l’entrée de saint Venceslas au Bréviaire Romain », in : Josef FÖRSTER, Petr KITZLER, </w:t>
      </w:r>
      <w:proofErr w:type="spellStart"/>
      <w:r w:rsidRPr="000F5686">
        <w:t>Václav</w:t>
      </w:r>
      <w:proofErr w:type="spellEnd"/>
      <w:r w:rsidRPr="000F5686">
        <w:t xml:space="preserve"> PETRBOK, Hana SVATOSOVÁ (éd.), </w:t>
      </w:r>
      <w:proofErr w:type="spellStart"/>
      <w:r w:rsidRPr="000F5686">
        <w:t>Musarum</w:t>
      </w:r>
      <w:proofErr w:type="spellEnd"/>
      <w:r w:rsidRPr="000F5686">
        <w:t xml:space="preserve"> </w:t>
      </w:r>
      <w:proofErr w:type="gramStart"/>
      <w:r w:rsidRPr="000F5686">
        <w:t xml:space="preserve">Socius  </w:t>
      </w:r>
      <w:proofErr w:type="spellStart"/>
      <w:r w:rsidRPr="000F5686">
        <w:t>jinak</w:t>
      </w:r>
      <w:proofErr w:type="spellEnd"/>
      <w:proofErr w:type="gramEnd"/>
      <w:r w:rsidRPr="000F5686">
        <w:t xml:space="preserve"> </w:t>
      </w:r>
      <w:proofErr w:type="spellStart"/>
      <w:r w:rsidRPr="000F5686">
        <w:t>též</w:t>
      </w:r>
      <w:proofErr w:type="spellEnd"/>
      <w:r w:rsidRPr="000F5686">
        <w:t xml:space="preserve"> </w:t>
      </w:r>
      <w:proofErr w:type="spellStart"/>
      <w:r w:rsidRPr="000F5686">
        <w:t>Malý</w:t>
      </w:r>
      <w:proofErr w:type="spellEnd"/>
      <w:r w:rsidRPr="000F5686">
        <w:t xml:space="preserve"> </w:t>
      </w:r>
      <w:proofErr w:type="spellStart"/>
      <w:r w:rsidRPr="000F5686">
        <w:t>Slavnospis</w:t>
      </w:r>
      <w:proofErr w:type="spellEnd"/>
      <w:r w:rsidRPr="000F5686">
        <w:t xml:space="preserve">, Prague, </w:t>
      </w:r>
      <w:proofErr w:type="spellStart"/>
      <w:r w:rsidRPr="000F5686">
        <w:t>Kabinet</w:t>
      </w:r>
      <w:proofErr w:type="spellEnd"/>
      <w:r w:rsidRPr="000F5686">
        <w:t xml:space="preserve"> pro </w:t>
      </w:r>
      <w:proofErr w:type="spellStart"/>
      <w:r w:rsidRPr="000F5686">
        <w:t>klasická</w:t>
      </w:r>
      <w:proofErr w:type="spellEnd"/>
      <w:r w:rsidRPr="000F5686">
        <w:t xml:space="preserve"> </w:t>
      </w:r>
      <w:proofErr w:type="spellStart"/>
      <w:r w:rsidRPr="000F5686">
        <w:t>studia</w:t>
      </w:r>
      <w:proofErr w:type="spellEnd"/>
      <w:r w:rsidRPr="000F5686">
        <w:t xml:space="preserve">, </w:t>
      </w:r>
      <w:proofErr w:type="spellStart"/>
      <w:r w:rsidRPr="000F5686">
        <w:t>Filosofický</w:t>
      </w:r>
      <w:proofErr w:type="spellEnd"/>
      <w:r w:rsidRPr="000F5686">
        <w:t xml:space="preserve"> </w:t>
      </w:r>
      <w:proofErr w:type="spellStart"/>
      <w:r w:rsidRPr="000F5686">
        <w:t>ústav</w:t>
      </w:r>
      <w:proofErr w:type="spellEnd"/>
      <w:r w:rsidRPr="000F5686">
        <w:t xml:space="preserve"> AV ČR, 2012, p. 443-466. </w:t>
      </w:r>
      <w:proofErr w:type="gramStart"/>
      <w:r w:rsidRPr="000F5686">
        <w:t>ISBN:</w:t>
      </w:r>
      <w:proofErr w:type="gramEnd"/>
      <w:r w:rsidRPr="000F5686">
        <w:t xml:space="preserve"> 978-80-260-0542-1</w:t>
      </w:r>
    </w:p>
    <w:p w:rsidR="00CF6CF7" w:rsidRPr="000F5686" w:rsidRDefault="00CF6CF7" w:rsidP="00CF6CF7">
      <w:pPr>
        <w:spacing w:line="256" w:lineRule="auto"/>
        <w:ind w:left="116" w:right="120"/>
      </w:pPr>
    </w:p>
    <w:p w:rsidR="00CF6CF7" w:rsidRPr="000F5686" w:rsidRDefault="00CF6CF7" w:rsidP="00CF6CF7">
      <w:pPr>
        <w:spacing w:line="256" w:lineRule="auto"/>
        <w:ind w:left="116" w:right="120"/>
      </w:pPr>
      <w:proofErr w:type="gramStart"/>
      <w:r w:rsidRPr="000F5686">
        <w:t>-«</w:t>
      </w:r>
      <w:proofErr w:type="gramEnd"/>
      <w:r w:rsidRPr="000F5686">
        <w:t xml:space="preserve"> </w:t>
      </w:r>
      <w:proofErr w:type="spellStart"/>
      <w:r w:rsidRPr="000F5686">
        <w:t>Virtutes</w:t>
      </w:r>
      <w:proofErr w:type="spellEnd"/>
      <w:r w:rsidRPr="000F5686">
        <w:t xml:space="preserve"> </w:t>
      </w:r>
      <w:proofErr w:type="spellStart"/>
      <w:r w:rsidRPr="000F5686">
        <w:t>regis</w:t>
      </w:r>
      <w:proofErr w:type="spellEnd"/>
      <w:r w:rsidRPr="000F5686">
        <w:t xml:space="preserve">  </w:t>
      </w:r>
      <w:proofErr w:type="spellStart"/>
      <w:r w:rsidRPr="000F5686">
        <w:t>neboli</w:t>
      </w:r>
      <w:proofErr w:type="spellEnd"/>
      <w:r w:rsidRPr="000F5686">
        <w:t xml:space="preserve"> </w:t>
      </w:r>
      <w:proofErr w:type="spellStart"/>
      <w:r w:rsidRPr="000F5686">
        <w:t>zbožnost</w:t>
      </w:r>
      <w:proofErr w:type="spellEnd"/>
      <w:r w:rsidRPr="000F5686">
        <w:t xml:space="preserve">, </w:t>
      </w:r>
      <w:proofErr w:type="spellStart"/>
      <w:r w:rsidRPr="000F5686">
        <w:t>cnosti</w:t>
      </w:r>
      <w:proofErr w:type="spellEnd"/>
      <w:r w:rsidRPr="000F5686">
        <w:t xml:space="preserve">, </w:t>
      </w:r>
      <w:proofErr w:type="spellStart"/>
      <w:r w:rsidRPr="000F5686">
        <w:t>život</w:t>
      </w:r>
      <w:proofErr w:type="spellEnd"/>
      <w:r w:rsidRPr="000F5686">
        <w:t xml:space="preserve"> a </w:t>
      </w:r>
      <w:proofErr w:type="spellStart"/>
      <w:r w:rsidRPr="000F5686">
        <w:t>sláva</w:t>
      </w:r>
      <w:proofErr w:type="spellEnd"/>
      <w:r w:rsidRPr="000F5686">
        <w:t xml:space="preserve"> </w:t>
      </w:r>
      <w:proofErr w:type="spellStart"/>
      <w:r w:rsidRPr="000F5686">
        <w:t>panovníků</w:t>
      </w:r>
      <w:proofErr w:type="spellEnd"/>
      <w:r w:rsidRPr="000F5686">
        <w:t>» (</w:t>
      </w:r>
      <w:proofErr w:type="spellStart"/>
      <w:r w:rsidRPr="000F5686">
        <w:t>Virtutes</w:t>
      </w:r>
      <w:proofErr w:type="spellEnd"/>
      <w:r w:rsidRPr="000F5686">
        <w:t xml:space="preserve"> </w:t>
      </w:r>
      <w:proofErr w:type="spellStart"/>
      <w:r w:rsidRPr="000F5686">
        <w:t>regis</w:t>
      </w:r>
      <w:proofErr w:type="spellEnd"/>
      <w:r w:rsidRPr="000F5686">
        <w:t xml:space="preserve">: piété, vertus, vie et gloire des souverains), in: Petra ČEMUS (éd.), </w:t>
      </w:r>
      <w:proofErr w:type="spellStart"/>
      <w:r w:rsidRPr="000F5686">
        <w:t>Bohemia</w:t>
      </w:r>
      <w:proofErr w:type="spellEnd"/>
      <w:r w:rsidRPr="000F5686">
        <w:t xml:space="preserve"> </w:t>
      </w:r>
      <w:proofErr w:type="spellStart"/>
      <w:r w:rsidRPr="000F5686">
        <w:t>Jesuitica</w:t>
      </w:r>
      <w:proofErr w:type="spellEnd"/>
      <w:r w:rsidRPr="000F5686">
        <w:t xml:space="preserve"> 1556-2006, chapitre VII, vol. II, Prague , </w:t>
      </w:r>
      <w:proofErr w:type="spellStart"/>
      <w:r w:rsidRPr="000F5686">
        <w:t>Karolinum</w:t>
      </w:r>
      <w:proofErr w:type="spellEnd"/>
      <w:r w:rsidRPr="000F5686">
        <w:t xml:space="preserve">, et Würzburg, </w:t>
      </w:r>
      <w:proofErr w:type="spellStart"/>
      <w:r w:rsidRPr="000F5686">
        <w:t>Echter</w:t>
      </w:r>
      <w:proofErr w:type="spellEnd"/>
      <w:r w:rsidRPr="000F5686">
        <w:t xml:space="preserve"> </w:t>
      </w:r>
      <w:proofErr w:type="spellStart"/>
      <w:r w:rsidRPr="000F5686">
        <w:t>Verlag</w:t>
      </w:r>
      <w:proofErr w:type="spellEnd"/>
      <w:r w:rsidRPr="000F5686">
        <w:t>, 2010, p. 805-812.</w:t>
      </w:r>
    </w:p>
    <w:p w:rsidR="00CF6CF7" w:rsidRPr="000F5686" w:rsidRDefault="00CF6CF7" w:rsidP="00CF6CF7">
      <w:pPr>
        <w:spacing w:line="256" w:lineRule="auto"/>
        <w:ind w:left="116" w:right="120"/>
      </w:pPr>
    </w:p>
    <w:p w:rsidR="00CF6CF7" w:rsidRPr="000F5686" w:rsidRDefault="00CF6CF7" w:rsidP="00CF6CF7">
      <w:pPr>
        <w:spacing w:line="256" w:lineRule="auto"/>
        <w:ind w:left="116" w:right="120"/>
      </w:pPr>
      <w:proofErr w:type="gramStart"/>
      <w:r w:rsidRPr="000F5686">
        <w:t>-«</w:t>
      </w:r>
      <w:proofErr w:type="gramEnd"/>
      <w:r w:rsidRPr="000F5686">
        <w:t xml:space="preserve"> L’</w:t>
      </w:r>
      <w:proofErr w:type="spellStart"/>
      <w:r w:rsidRPr="000F5686">
        <w:t>antijésuitisme</w:t>
      </w:r>
      <w:proofErr w:type="spellEnd"/>
      <w:r w:rsidRPr="000F5686">
        <w:t xml:space="preserve"> tchèque au XIXe siècle », in : Pierre-Antoine FABRE et Catherine MAIRE (sous la direction de), Les </w:t>
      </w:r>
      <w:proofErr w:type="spellStart"/>
      <w:r w:rsidRPr="000F5686">
        <w:t>Antijésuites</w:t>
      </w:r>
      <w:proofErr w:type="spellEnd"/>
      <w:r w:rsidRPr="000F5686">
        <w:t>. Discours, figures et lieux de l’</w:t>
      </w:r>
      <w:proofErr w:type="spellStart"/>
      <w:r w:rsidRPr="000F5686">
        <w:t>antijésuitisme</w:t>
      </w:r>
      <w:proofErr w:type="spellEnd"/>
      <w:r w:rsidRPr="000F5686">
        <w:t xml:space="preserve"> à l’époque moderne, Rennes, Presses Universitaires de Rennes, 2010, p. 511-536.</w:t>
      </w:r>
    </w:p>
    <w:p w:rsidR="00A36E04" w:rsidRDefault="00A36E04" w:rsidP="00CF6CF7">
      <w:pPr>
        <w:spacing w:line="256" w:lineRule="auto"/>
        <w:ind w:left="116" w:right="120"/>
      </w:pPr>
    </w:p>
    <w:p w:rsidR="008333DA" w:rsidRPr="000F5686" w:rsidRDefault="008333DA" w:rsidP="00CF6CF7">
      <w:pPr>
        <w:spacing w:line="256" w:lineRule="auto"/>
        <w:ind w:left="116" w:right="120"/>
      </w:pPr>
    </w:p>
    <w:p w:rsidR="00A36E04" w:rsidRPr="000F5686" w:rsidRDefault="00A36E04" w:rsidP="00CF6CF7">
      <w:pPr>
        <w:spacing w:line="256" w:lineRule="auto"/>
        <w:ind w:left="116" w:right="120"/>
        <w:rPr>
          <w:b/>
          <w:bCs/>
          <w:lang w:eastAsia="fr-FR"/>
        </w:rPr>
      </w:pPr>
      <w:r w:rsidRPr="000F5686">
        <w:rPr>
          <w:b/>
          <w:bCs/>
          <w:lang w:eastAsia="fr-FR"/>
        </w:rPr>
        <w:t>. Articles scientifiques dans des revues ou des volumes collectifs, sans comité de lecture</w:t>
      </w:r>
    </w:p>
    <w:p w:rsidR="007B2740" w:rsidRPr="000F5686" w:rsidRDefault="007B2740" w:rsidP="00CF6CF7">
      <w:pPr>
        <w:spacing w:line="256" w:lineRule="auto"/>
        <w:ind w:left="116" w:right="120"/>
      </w:pPr>
    </w:p>
    <w:p w:rsidR="007B2740" w:rsidRPr="000F5686" w:rsidRDefault="007B2740" w:rsidP="007B2740">
      <w:pPr>
        <w:spacing w:line="256" w:lineRule="auto"/>
        <w:ind w:left="116" w:right="120"/>
      </w:pPr>
      <w:r w:rsidRPr="000F5686">
        <w:t xml:space="preserve">- « Le rôle de médiateur entre institutions scientifiques : le CEFRES jusqu’en </w:t>
      </w:r>
      <w:proofErr w:type="gramStart"/>
      <w:r w:rsidRPr="000F5686">
        <w:t>2012»</w:t>
      </w:r>
      <w:proofErr w:type="gramEnd"/>
      <w:r w:rsidRPr="000F5686">
        <w:t>, in</w:t>
      </w:r>
      <w:r w:rsidR="00D45E6D" w:rsidRPr="000F5686">
        <w:t xml:space="preserve"> : </w:t>
      </w:r>
      <w:r w:rsidRPr="000F5686">
        <w:rPr>
          <w:i/>
        </w:rPr>
        <w:t>Médiateurs et lieux de médiation culturelle entre la France et l’Europe centrale</w:t>
      </w:r>
      <w:r w:rsidRPr="000F5686">
        <w:t xml:space="preserve">, sous la direction d’Antoine </w:t>
      </w:r>
      <w:proofErr w:type="spellStart"/>
      <w:r w:rsidRPr="000F5686">
        <w:t>Marès</w:t>
      </w:r>
      <w:proofErr w:type="spellEnd"/>
      <w:r w:rsidRPr="000F5686">
        <w:t>, Paris, 2014</w:t>
      </w:r>
    </w:p>
    <w:p w:rsidR="007B2740" w:rsidRPr="000F5686" w:rsidRDefault="007B2740" w:rsidP="007B2740">
      <w:pPr>
        <w:spacing w:line="256" w:lineRule="auto"/>
        <w:ind w:left="116" w:right="120"/>
      </w:pPr>
    </w:p>
    <w:p w:rsidR="007B2740" w:rsidRPr="000F5686" w:rsidRDefault="007B2740" w:rsidP="007B2740">
      <w:pPr>
        <w:spacing w:line="256" w:lineRule="auto"/>
        <w:ind w:left="116" w:right="120"/>
      </w:pPr>
      <w:r w:rsidRPr="000F5686">
        <w:t xml:space="preserve">- </w:t>
      </w:r>
      <w:proofErr w:type="gramStart"/>
      <w:r w:rsidRPr="000F5686">
        <w:t>-«</w:t>
      </w:r>
      <w:proofErr w:type="gramEnd"/>
      <w:r w:rsidRPr="000F5686">
        <w:t xml:space="preserve"> „</w:t>
      </w:r>
      <w:proofErr w:type="spellStart"/>
      <w:r w:rsidRPr="000F5686">
        <w:t>Iuxta</w:t>
      </w:r>
      <w:proofErr w:type="spellEnd"/>
      <w:r w:rsidRPr="000F5686">
        <w:t xml:space="preserve"> </w:t>
      </w:r>
      <w:proofErr w:type="spellStart"/>
      <w:r w:rsidRPr="000F5686">
        <w:t>morem</w:t>
      </w:r>
      <w:proofErr w:type="spellEnd"/>
      <w:r w:rsidRPr="000F5686">
        <w:t xml:space="preserve"> </w:t>
      </w:r>
      <w:proofErr w:type="spellStart"/>
      <w:r w:rsidRPr="000F5686">
        <w:t>antiquorum</w:t>
      </w:r>
      <w:proofErr w:type="spellEnd"/>
      <w:r w:rsidRPr="000F5686">
        <w:t xml:space="preserve"> </w:t>
      </w:r>
      <w:proofErr w:type="spellStart"/>
      <w:r w:rsidRPr="000F5686">
        <w:t>Sanctorum</w:t>
      </w:r>
      <w:proofErr w:type="spellEnd"/>
      <w:r w:rsidRPr="000F5686">
        <w:t xml:space="preserve">‟. </w:t>
      </w:r>
      <w:proofErr w:type="spellStart"/>
      <w:r w:rsidRPr="000F5686">
        <w:t>Zbožné</w:t>
      </w:r>
      <w:proofErr w:type="spellEnd"/>
      <w:r w:rsidRPr="000F5686">
        <w:t xml:space="preserve"> </w:t>
      </w:r>
      <w:proofErr w:type="spellStart"/>
      <w:r w:rsidRPr="000F5686">
        <w:t>Čechy</w:t>
      </w:r>
      <w:proofErr w:type="spellEnd"/>
      <w:r w:rsidRPr="000F5686">
        <w:t xml:space="preserve"> </w:t>
      </w:r>
      <w:proofErr w:type="spellStart"/>
      <w:r w:rsidRPr="000F5686">
        <w:t>otců</w:t>
      </w:r>
      <w:proofErr w:type="spellEnd"/>
      <w:r w:rsidRPr="000F5686">
        <w:t xml:space="preserve"> </w:t>
      </w:r>
      <w:proofErr w:type="spellStart"/>
      <w:r w:rsidRPr="000F5686">
        <w:t>Chanovského</w:t>
      </w:r>
      <w:proofErr w:type="spellEnd"/>
      <w:r w:rsidRPr="000F5686">
        <w:t xml:space="preserve"> a </w:t>
      </w:r>
      <w:proofErr w:type="spellStart"/>
      <w:r w:rsidRPr="000F5686">
        <w:t>Łęczyckého</w:t>
      </w:r>
      <w:proofErr w:type="spellEnd"/>
      <w:r w:rsidRPr="000F5686">
        <w:t xml:space="preserve"> » („Selon les </w:t>
      </w:r>
      <w:proofErr w:type="spellStart"/>
      <w:r w:rsidRPr="000F5686">
        <w:t>moeurs</w:t>
      </w:r>
      <w:proofErr w:type="spellEnd"/>
      <w:r w:rsidRPr="000F5686">
        <w:t xml:space="preserve"> des saints de l’Antiquité“. La Bohême sainte des pères jésuites </w:t>
      </w:r>
      <w:proofErr w:type="spellStart"/>
      <w:r w:rsidRPr="000F5686">
        <w:t>Chanovský</w:t>
      </w:r>
      <w:proofErr w:type="spellEnd"/>
      <w:r w:rsidRPr="000F5686">
        <w:t xml:space="preserve"> et </w:t>
      </w:r>
      <w:proofErr w:type="spellStart"/>
      <w:r w:rsidRPr="000F5686">
        <w:t>Łęczycki</w:t>
      </w:r>
      <w:proofErr w:type="spellEnd"/>
      <w:r w:rsidRPr="000F5686">
        <w:t xml:space="preserve">), </w:t>
      </w:r>
      <w:proofErr w:type="gramStart"/>
      <w:r w:rsidRPr="000F5686">
        <w:t>in:</w:t>
      </w:r>
      <w:proofErr w:type="gramEnd"/>
      <w:r w:rsidRPr="000F5686">
        <w:t xml:space="preserve"> </w:t>
      </w:r>
      <w:proofErr w:type="spellStart"/>
      <w:r w:rsidRPr="000F5686">
        <w:t>Pět</w:t>
      </w:r>
      <w:proofErr w:type="spellEnd"/>
      <w:r w:rsidRPr="000F5686">
        <w:t xml:space="preserve"> </w:t>
      </w:r>
      <w:proofErr w:type="spellStart"/>
      <w:r w:rsidRPr="000F5686">
        <w:t>hvězd</w:t>
      </w:r>
      <w:proofErr w:type="spellEnd"/>
      <w:r w:rsidRPr="000F5686">
        <w:t xml:space="preserve"> </w:t>
      </w:r>
      <w:proofErr w:type="spellStart"/>
      <w:r w:rsidRPr="000F5686">
        <w:t>nad</w:t>
      </w:r>
      <w:proofErr w:type="spellEnd"/>
      <w:r w:rsidRPr="000F5686">
        <w:t xml:space="preserve"> </w:t>
      </w:r>
      <w:proofErr w:type="spellStart"/>
      <w:r w:rsidRPr="000F5686">
        <w:t>českým</w:t>
      </w:r>
      <w:proofErr w:type="spellEnd"/>
      <w:r w:rsidRPr="000F5686">
        <w:t xml:space="preserve"> </w:t>
      </w:r>
      <w:proofErr w:type="spellStart"/>
      <w:r w:rsidRPr="000F5686">
        <w:t>královstvím</w:t>
      </w:r>
      <w:proofErr w:type="spellEnd"/>
      <w:r w:rsidRPr="000F5686">
        <w:t xml:space="preserve">. </w:t>
      </w:r>
      <w:proofErr w:type="spellStart"/>
      <w:r w:rsidRPr="000F5686">
        <w:t>Svatý</w:t>
      </w:r>
      <w:proofErr w:type="spellEnd"/>
      <w:r w:rsidRPr="000F5686">
        <w:t xml:space="preserve"> Jan </w:t>
      </w:r>
      <w:proofErr w:type="spellStart"/>
      <w:r w:rsidRPr="000F5686">
        <w:t>Nepomucký</w:t>
      </w:r>
      <w:proofErr w:type="spellEnd"/>
      <w:r w:rsidRPr="000F5686">
        <w:t xml:space="preserve"> a </w:t>
      </w:r>
      <w:proofErr w:type="spellStart"/>
      <w:r w:rsidRPr="000F5686">
        <w:t>katolická</w:t>
      </w:r>
      <w:proofErr w:type="spellEnd"/>
      <w:r w:rsidRPr="000F5686">
        <w:t xml:space="preserve"> </w:t>
      </w:r>
      <w:proofErr w:type="spellStart"/>
      <w:r w:rsidRPr="000F5686">
        <w:t>reformace</w:t>
      </w:r>
      <w:proofErr w:type="spellEnd"/>
      <w:r w:rsidRPr="000F5686">
        <w:t xml:space="preserve"> (</w:t>
      </w:r>
      <w:r w:rsidR="00D45E6D" w:rsidRPr="000F5686">
        <w:t>Le royaume de Bohême sous la protection de c</w:t>
      </w:r>
      <w:r w:rsidRPr="000F5686">
        <w:t xml:space="preserve">inq étoiles. Saint Jean </w:t>
      </w:r>
      <w:proofErr w:type="spellStart"/>
      <w:r w:rsidRPr="000F5686">
        <w:t>Népomucène</w:t>
      </w:r>
      <w:proofErr w:type="spellEnd"/>
      <w:r w:rsidRPr="000F5686">
        <w:t xml:space="preserve"> et la réforme catholique) paru </w:t>
      </w:r>
      <w:proofErr w:type="gramStart"/>
      <w:r w:rsidRPr="000F5686">
        <w:t>dans</w:t>
      </w:r>
      <w:r w:rsidRPr="000F5686">
        <w:rPr>
          <w:i/>
        </w:rPr>
        <w:t>:</w:t>
      </w:r>
      <w:proofErr w:type="gramEnd"/>
      <w:r w:rsidRPr="000F5686">
        <w:rPr>
          <w:i/>
        </w:rPr>
        <w:t xml:space="preserve"> Klatovy v </w:t>
      </w:r>
      <w:proofErr w:type="spellStart"/>
      <w:r w:rsidRPr="000F5686">
        <w:rPr>
          <w:i/>
        </w:rPr>
        <w:t>prostoru</w:t>
      </w:r>
      <w:proofErr w:type="spellEnd"/>
      <w:r w:rsidRPr="000F5686">
        <w:rPr>
          <w:i/>
        </w:rPr>
        <w:t xml:space="preserve"> a </w:t>
      </w:r>
      <w:proofErr w:type="spellStart"/>
      <w:r w:rsidRPr="000F5686">
        <w:rPr>
          <w:i/>
        </w:rPr>
        <w:t>čase</w:t>
      </w:r>
      <w:proofErr w:type="spellEnd"/>
      <w:r w:rsidRPr="000F5686">
        <w:t>, 3, Klatovy 2013, p. 107-114.</w:t>
      </w:r>
    </w:p>
    <w:p w:rsidR="007B2740" w:rsidRPr="000F5686" w:rsidRDefault="007B2740" w:rsidP="007B2740">
      <w:pPr>
        <w:spacing w:line="256" w:lineRule="auto"/>
        <w:ind w:left="116" w:right="120"/>
      </w:pPr>
    </w:p>
    <w:p w:rsidR="007B2740" w:rsidRPr="000F5686" w:rsidRDefault="007B2740" w:rsidP="007B2740">
      <w:pPr>
        <w:spacing w:line="256" w:lineRule="auto"/>
        <w:ind w:left="116" w:right="120"/>
      </w:pPr>
      <w:proofErr w:type="gramStart"/>
      <w:r w:rsidRPr="000F5686">
        <w:t>-«</w:t>
      </w:r>
      <w:proofErr w:type="gramEnd"/>
      <w:r w:rsidRPr="000F5686">
        <w:t xml:space="preserve"> L’émigration des protestants de Bohême et de Moravie aux XVII</w:t>
      </w:r>
      <w:r w:rsidRPr="000F5686">
        <w:rPr>
          <w:vertAlign w:val="superscript"/>
        </w:rPr>
        <w:t>e</w:t>
      </w:r>
      <w:r w:rsidRPr="000F5686">
        <w:t xml:space="preserve"> et XVIII</w:t>
      </w:r>
      <w:r w:rsidRPr="000F5686">
        <w:rPr>
          <w:vertAlign w:val="superscript"/>
        </w:rPr>
        <w:t>e</w:t>
      </w:r>
      <w:r w:rsidRPr="000F5686">
        <w:t xml:space="preserve"> siècles », in : </w:t>
      </w:r>
      <w:r w:rsidRPr="000F5686">
        <w:rPr>
          <w:i/>
        </w:rPr>
        <w:t>Cahiers du CEFRES, 31. Contribution à une histoire culturelle germano-tchèque en Europe central</w:t>
      </w:r>
      <w:r w:rsidRPr="000F5686">
        <w:t>e, édités par Françoise MAYER et Catherine SERVANT, Prague, CEFRES, 2011, p. 53-78</w:t>
      </w:r>
    </w:p>
    <w:p w:rsidR="007B2740" w:rsidRPr="000F5686" w:rsidRDefault="007B2740" w:rsidP="007B2740">
      <w:pPr>
        <w:spacing w:line="256" w:lineRule="auto"/>
        <w:ind w:left="116" w:right="120"/>
      </w:pPr>
    </w:p>
    <w:p w:rsidR="007B2740" w:rsidRPr="000F5686" w:rsidRDefault="007B2740" w:rsidP="007B2740">
      <w:pPr>
        <w:spacing w:line="256" w:lineRule="auto"/>
        <w:ind w:left="116" w:right="120"/>
      </w:pPr>
      <w:r w:rsidRPr="000F5686">
        <w:t xml:space="preserve"> - « Entre échanges scientifiques et </w:t>
      </w:r>
      <w:proofErr w:type="gramStart"/>
      <w:r w:rsidRPr="000F5686">
        <w:t>interface:</w:t>
      </w:r>
      <w:proofErr w:type="gramEnd"/>
      <w:r w:rsidRPr="000F5686">
        <w:t xml:space="preserve"> la place du Centre Français de Recherche en Sciences Sociales de Prague», in : A partir de l'Europe centrale, analyser un monde qui change. Etudes du CEFRES, n° 12, Prague 2012, p. 14-28. </w:t>
      </w:r>
    </w:p>
    <w:p w:rsidR="007B2740" w:rsidRPr="000F5686" w:rsidRDefault="00096A53" w:rsidP="007B2740">
      <w:pPr>
        <w:spacing w:line="256" w:lineRule="auto"/>
        <w:ind w:left="116" w:right="120"/>
        <w:rPr>
          <w:color w:val="0000FF"/>
          <w:u w:val="single"/>
        </w:rPr>
      </w:pPr>
      <w:hyperlink r:id="rId14" w:history="1">
        <w:r w:rsidR="007B2740" w:rsidRPr="000F5686">
          <w:rPr>
            <w:color w:val="0000FF"/>
            <w:u w:val="single"/>
          </w:rPr>
          <w:t>http://halshs.archives-ouvertes.fr/halshs-00726521</w:t>
        </w:r>
      </w:hyperlink>
    </w:p>
    <w:p w:rsidR="007B2740" w:rsidRPr="000F5686" w:rsidRDefault="007B2740" w:rsidP="007B2740">
      <w:pPr>
        <w:spacing w:line="256" w:lineRule="auto"/>
        <w:ind w:left="116" w:right="120"/>
      </w:pPr>
    </w:p>
    <w:p w:rsidR="008333DA" w:rsidRDefault="008333DA" w:rsidP="001D0083">
      <w:pPr>
        <w:spacing w:line="256" w:lineRule="auto"/>
        <w:ind w:left="116" w:right="120"/>
        <w:rPr>
          <w:b/>
          <w:lang w:eastAsia="fr-FR"/>
        </w:rPr>
      </w:pPr>
    </w:p>
    <w:p w:rsidR="001D0083" w:rsidRPr="000F5686" w:rsidRDefault="001D0083" w:rsidP="001D0083">
      <w:pPr>
        <w:spacing w:line="256" w:lineRule="auto"/>
        <w:ind w:left="116" w:right="120"/>
        <w:rPr>
          <w:b/>
          <w:lang w:eastAsia="fr-FR"/>
        </w:rPr>
      </w:pPr>
      <w:r w:rsidRPr="000F5686">
        <w:rPr>
          <w:b/>
          <w:lang w:eastAsia="fr-FR"/>
        </w:rPr>
        <w:t>-Notices dans des encyclopédies et dictionnaires</w:t>
      </w:r>
    </w:p>
    <w:p w:rsidR="00B075A1" w:rsidRDefault="00B075A1" w:rsidP="00B075A1">
      <w:pPr>
        <w:spacing w:line="256" w:lineRule="auto"/>
        <w:ind w:left="116" w:right="120"/>
        <w:rPr>
          <w:lang w:eastAsia="fr-FR"/>
        </w:rPr>
      </w:pPr>
      <w:proofErr w:type="spellStart"/>
      <w:r w:rsidRPr="00B075A1">
        <w:rPr>
          <w:lang w:eastAsia="fr-FR"/>
        </w:rPr>
        <w:t>Balbín</w:t>
      </w:r>
      <w:proofErr w:type="spellEnd"/>
      <w:r w:rsidRPr="00B075A1">
        <w:rPr>
          <w:lang w:eastAsia="fr-FR"/>
        </w:rPr>
        <w:t xml:space="preserve">, </w:t>
      </w:r>
      <w:proofErr w:type="spellStart"/>
      <w:r w:rsidRPr="00B075A1">
        <w:rPr>
          <w:lang w:eastAsia="fr-FR"/>
        </w:rPr>
        <w:t>Bohuslav</w:t>
      </w:r>
      <w:proofErr w:type="spellEnd"/>
      <w:r w:rsidRPr="00B075A1">
        <w:rPr>
          <w:lang w:eastAsia="fr-FR"/>
        </w:rPr>
        <w:t>, in</w:t>
      </w:r>
      <w:r>
        <w:rPr>
          <w:lang w:eastAsia="fr-FR"/>
        </w:rPr>
        <w:t xml:space="preserve"> </w:t>
      </w:r>
      <w:r w:rsidRPr="00B075A1">
        <w:rPr>
          <w:lang w:eastAsia="fr-FR"/>
        </w:rPr>
        <w:t xml:space="preserve">: </w:t>
      </w:r>
      <w:r w:rsidRPr="00B075A1">
        <w:rPr>
          <w:i/>
          <w:lang w:eastAsia="fr-FR"/>
        </w:rPr>
        <w:t>Les jésuites. Histoire et dictionnaire</w:t>
      </w:r>
      <w:r w:rsidRPr="00B075A1">
        <w:rPr>
          <w:lang w:eastAsia="fr-FR"/>
        </w:rPr>
        <w:t>, sous la direction de Pierre-Antoine Fabre et Benoist Pierre, Paris, Laffont collection Bouquins, 2022, p. 483-484</w:t>
      </w:r>
    </w:p>
    <w:p w:rsidR="00B075A1" w:rsidRPr="00B075A1" w:rsidRDefault="00B075A1" w:rsidP="00B075A1">
      <w:pPr>
        <w:spacing w:line="256" w:lineRule="auto"/>
        <w:ind w:left="116" w:right="120"/>
        <w:rPr>
          <w:lang w:eastAsia="fr-FR"/>
        </w:rPr>
      </w:pPr>
    </w:p>
    <w:p w:rsidR="00B075A1" w:rsidRDefault="00B075A1" w:rsidP="00B075A1">
      <w:pPr>
        <w:spacing w:line="256" w:lineRule="auto"/>
        <w:ind w:left="116" w:right="120"/>
        <w:rPr>
          <w:lang w:val="en-GB" w:eastAsia="fr-FR"/>
        </w:rPr>
      </w:pPr>
      <w:proofErr w:type="spellStart"/>
      <w:r w:rsidRPr="00B075A1">
        <w:rPr>
          <w:lang w:val="en-GB" w:eastAsia="fr-FR"/>
        </w:rPr>
        <w:t>Bridel</w:t>
      </w:r>
      <w:proofErr w:type="spellEnd"/>
      <w:r w:rsidRPr="00B075A1">
        <w:rPr>
          <w:lang w:val="en-GB" w:eastAsia="fr-FR"/>
        </w:rPr>
        <w:t xml:space="preserve">, </w:t>
      </w:r>
      <w:proofErr w:type="spellStart"/>
      <w:r w:rsidRPr="00B075A1">
        <w:rPr>
          <w:lang w:val="en-GB" w:eastAsia="fr-FR"/>
        </w:rPr>
        <w:t>Fridrich</w:t>
      </w:r>
      <w:proofErr w:type="spellEnd"/>
      <w:r w:rsidRPr="00B075A1">
        <w:rPr>
          <w:lang w:val="en-GB" w:eastAsia="fr-FR"/>
        </w:rPr>
        <w:t>, in: Id., p. 525-526</w:t>
      </w:r>
    </w:p>
    <w:p w:rsidR="00B075A1" w:rsidRPr="00B075A1" w:rsidRDefault="00B075A1" w:rsidP="00B075A1">
      <w:pPr>
        <w:spacing w:line="256" w:lineRule="auto"/>
        <w:ind w:left="116" w:right="120"/>
        <w:rPr>
          <w:lang w:val="en-GB" w:eastAsia="fr-FR"/>
        </w:rPr>
      </w:pPr>
    </w:p>
    <w:p w:rsidR="00B075A1" w:rsidRDefault="00B075A1" w:rsidP="00B075A1">
      <w:pPr>
        <w:spacing w:line="256" w:lineRule="auto"/>
        <w:ind w:left="116" w:right="120"/>
        <w:rPr>
          <w:lang w:val="en-GB" w:eastAsia="fr-FR"/>
        </w:rPr>
      </w:pPr>
      <w:proofErr w:type="spellStart"/>
      <w:r w:rsidRPr="00B075A1">
        <w:rPr>
          <w:lang w:val="en-GB" w:eastAsia="fr-FR"/>
        </w:rPr>
        <w:t>Hevenesi</w:t>
      </w:r>
      <w:proofErr w:type="spellEnd"/>
      <w:r w:rsidRPr="00B075A1">
        <w:rPr>
          <w:lang w:val="en-GB" w:eastAsia="fr-FR"/>
        </w:rPr>
        <w:t xml:space="preserve">, </w:t>
      </w:r>
      <w:proofErr w:type="spellStart"/>
      <w:r w:rsidRPr="00B075A1">
        <w:rPr>
          <w:lang w:val="en-GB" w:eastAsia="fr-FR"/>
        </w:rPr>
        <w:t>Gábor</w:t>
      </w:r>
      <w:proofErr w:type="spellEnd"/>
      <w:r w:rsidRPr="00B075A1">
        <w:rPr>
          <w:lang w:val="en-GB" w:eastAsia="fr-FR"/>
        </w:rPr>
        <w:t>,  in: Id., p. 734-735</w:t>
      </w:r>
    </w:p>
    <w:p w:rsidR="00B075A1" w:rsidRPr="00B075A1" w:rsidRDefault="00B075A1" w:rsidP="00B075A1">
      <w:pPr>
        <w:spacing w:line="256" w:lineRule="auto"/>
        <w:ind w:left="116" w:right="120"/>
        <w:rPr>
          <w:lang w:val="en-GB" w:eastAsia="fr-FR"/>
        </w:rPr>
      </w:pPr>
    </w:p>
    <w:p w:rsidR="00B075A1" w:rsidRPr="00096A53" w:rsidRDefault="00B075A1" w:rsidP="00B075A1">
      <w:pPr>
        <w:spacing w:line="256" w:lineRule="auto"/>
        <w:ind w:left="116" w:right="120"/>
        <w:rPr>
          <w:lang w:val="en-GB" w:eastAsia="fr-FR"/>
        </w:rPr>
      </w:pPr>
      <w:r w:rsidRPr="00096A53">
        <w:rPr>
          <w:lang w:val="en-GB" w:eastAsia="fr-FR"/>
        </w:rPr>
        <w:t>Kaldi, György, in: Id., 780-781</w:t>
      </w:r>
    </w:p>
    <w:p w:rsidR="00B075A1" w:rsidRPr="00096A53" w:rsidRDefault="00B075A1" w:rsidP="00B075A1">
      <w:pPr>
        <w:spacing w:line="256" w:lineRule="auto"/>
        <w:ind w:left="116" w:right="120"/>
        <w:rPr>
          <w:lang w:val="en-GB" w:eastAsia="fr-FR"/>
        </w:rPr>
      </w:pPr>
    </w:p>
    <w:p w:rsidR="00B075A1" w:rsidRPr="00096A53" w:rsidRDefault="00B075A1" w:rsidP="00B075A1">
      <w:pPr>
        <w:spacing w:line="256" w:lineRule="auto"/>
        <w:ind w:left="116" w:right="120"/>
        <w:rPr>
          <w:lang w:val="en-GB" w:eastAsia="fr-FR"/>
        </w:rPr>
      </w:pPr>
      <w:r w:rsidRPr="00096A53">
        <w:rPr>
          <w:lang w:val="en-GB" w:eastAsia="fr-FR"/>
        </w:rPr>
        <w:t>Nádasi, János, in: Id., p. 905-906</w:t>
      </w:r>
    </w:p>
    <w:p w:rsidR="00B075A1" w:rsidRPr="00096A53" w:rsidRDefault="00B075A1" w:rsidP="00B075A1">
      <w:pPr>
        <w:spacing w:line="256" w:lineRule="auto"/>
        <w:ind w:left="116" w:right="120"/>
        <w:rPr>
          <w:lang w:val="en-GB" w:eastAsia="fr-FR"/>
        </w:rPr>
      </w:pPr>
    </w:p>
    <w:p w:rsidR="00B075A1" w:rsidRPr="00096A53" w:rsidRDefault="00B075A1" w:rsidP="00B075A1">
      <w:pPr>
        <w:spacing w:line="256" w:lineRule="auto"/>
        <w:ind w:left="116" w:right="120"/>
        <w:rPr>
          <w:lang w:val="en-GB" w:eastAsia="fr-FR"/>
        </w:rPr>
      </w:pPr>
      <w:r w:rsidRPr="00096A53">
        <w:rPr>
          <w:lang w:val="en-GB" w:eastAsia="fr-FR"/>
        </w:rPr>
        <w:t>Pázmány, Péter, in: Id., p. 945-947</w:t>
      </w:r>
    </w:p>
    <w:p w:rsidR="00B075A1" w:rsidRPr="00096A53" w:rsidRDefault="00B075A1" w:rsidP="00B075A1">
      <w:pPr>
        <w:spacing w:line="256" w:lineRule="auto"/>
        <w:ind w:left="116" w:right="120"/>
        <w:rPr>
          <w:lang w:val="en-GB" w:eastAsia="fr-FR"/>
        </w:rPr>
      </w:pPr>
    </w:p>
    <w:p w:rsidR="00B075A1" w:rsidRPr="00096A53" w:rsidRDefault="00B075A1" w:rsidP="00B075A1">
      <w:pPr>
        <w:spacing w:line="256" w:lineRule="auto"/>
        <w:ind w:left="116" w:right="120"/>
        <w:rPr>
          <w:lang w:val="en-GB" w:eastAsia="fr-FR"/>
        </w:rPr>
      </w:pPr>
      <w:r w:rsidRPr="00096A53">
        <w:rPr>
          <w:lang w:val="en-GB" w:eastAsia="fr-FR"/>
        </w:rPr>
        <w:t>Retz, Frantz, in: Id., p. 993-994</w:t>
      </w:r>
    </w:p>
    <w:p w:rsidR="00B075A1" w:rsidRPr="00096A53" w:rsidRDefault="00B075A1" w:rsidP="00B075A1">
      <w:pPr>
        <w:spacing w:line="256" w:lineRule="auto"/>
        <w:ind w:left="116" w:right="120"/>
        <w:rPr>
          <w:lang w:val="en-GB" w:eastAsia="fr-FR"/>
        </w:rPr>
      </w:pPr>
    </w:p>
    <w:p w:rsidR="008333DA" w:rsidRPr="00096A53" w:rsidRDefault="00B075A1" w:rsidP="00B075A1">
      <w:pPr>
        <w:spacing w:line="256" w:lineRule="auto"/>
        <w:ind w:left="116" w:right="120"/>
        <w:rPr>
          <w:lang w:val="en-GB" w:eastAsia="fr-FR"/>
        </w:rPr>
      </w:pPr>
      <w:r w:rsidRPr="00096A53">
        <w:rPr>
          <w:lang w:val="en-GB" w:eastAsia="fr-FR"/>
        </w:rPr>
        <w:t>Tanner, Jan, in: Id., p. 1068-1069</w:t>
      </w:r>
    </w:p>
    <w:p w:rsidR="001D0083" w:rsidRPr="00096A53" w:rsidRDefault="001D0083" w:rsidP="007B2740">
      <w:pPr>
        <w:spacing w:line="256" w:lineRule="auto"/>
        <w:ind w:left="116" w:right="120"/>
        <w:rPr>
          <w:b/>
          <w:lang w:val="en-GB" w:eastAsia="fr-FR"/>
        </w:rPr>
      </w:pPr>
    </w:p>
    <w:p w:rsidR="007B2740" w:rsidRPr="000F5686" w:rsidRDefault="007B2740" w:rsidP="007B2740">
      <w:pPr>
        <w:spacing w:line="256" w:lineRule="auto"/>
        <w:ind w:left="116" w:right="120"/>
        <w:rPr>
          <w:b/>
          <w:lang w:eastAsia="fr-FR"/>
        </w:rPr>
      </w:pPr>
      <w:r w:rsidRPr="000F5686">
        <w:rPr>
          <w:b/>
          <w:lang w:eastAsia="fr-FR"/>
        </w:rPr>
        <w:t>-Comptes-rendus et notes bibliographiques</w:t>
      </w:r>
    </w:p>
    <w:p w:rsidR="007B2740" w:rsidRPr="000F5686" w:rsidRDefault="007B2740" w:rsidP="007B2740">
      <w:pPr>
        <w:spacing w:line="256" w:lineRule="auto"/>
        <w:ind w:left="116" w:right="120"/>
      </w:pPr>
    </w:p>
    <w:p w:rsidR="007B2740" w:rsidRPr="000F5686" w:rsidRDefault="007B2740" w:rsidP="007B2740">
      <w:pPr>
        <w:spacing w:line="256" w:lineRule="auto"/>
        <w:ind w:left="116" w:right="120"/>
      </w:pPr>
      <w:r w:rsidRPr="000F5686">
        <w:t xml:space="preserve"> – </w:t>
      </w:r>
      <w:proofErr w:type="spellStart"/>
      <w:r w:rsidRPr="000F5686">
        <w:t>Kelemen</w:t>
      </w:r>
      <w:proofErr w:type="spellEnd"/>
      <w:r w:rsidRPr="000F5686">
        <w:t xml:space="preserve"> MIKES, Lettres de Turquie, édition établie sous la direction de </w:t>
      </w:r>
      <w:proofErr w:type="spellStart"/>
      <w:r w:rsidRPr="000F5686">
        <w:t>Gábor</w:t>
      </w:r>
      <w:proofErr w:type="spellEnd"/>
      <w:r w:rsidRPr="000F5686">
        <w:t xml:space="preserve"> </w:t>
      </w:r>
      <w:proofErr w:type="spellStart"/>
      <w:r w:rsidRPr="000F5686">
        <w:t>Tüskés</w:t>
      </w:r>
      <w:proofErr w:type="spellEnd"/>
      <w:r w:rsidRPr="000F5686">
        <w:t xml:space="preserve">, avant-propos d’Antal </w:t>
      </w:r>
      <w:proofErr w:type="spellStart"/>
      <w:r w:rsidRPr="000F5686">
        <w:t>Szerb</w:t>
      </w:r>
      <w:proofErr w:type="spellEnd"/>
      <w:r w:rsidRPr="000F5686">
        <w:t xml:space="preserve">, préface de Jean Bérenger, traduites du hongrois et annotées par </w:t>
      </w:r>
      <w:proofErr w:type="spellStart"/>
      <w:r w:rsidRPr="000F5686">
        <w:t>Krisztina</w:t>
      </w:r>
      <w:proofErr w:type="spellEnd"/>
      <w:r w:rsidRPr="000F5686">
        <w:t xml:space="preserve"> </w:t>
      </w:r>
      <w:proofErr w:type="spellStart"/>
      <w:r w:rsidRPr="000F5686">
        <w:t>Kaló</w:t>
      </w:r>
      <w:proofErr w:type="spellEnd"/>
      <w:r w:rsidRPr="000F5686">
        <w:t xml:space="preserve"> et Thierry </w:t>
      </w:r>
      <w:proofErr w:type="spellStart"/>
      <w:r w:rsidRPr="000F5686">
        <w:t>Fouilleul</w:t>
      </w:r>
      <w:proofErr w:type="spellEnd"/>
      <w:r w:rsidRPr="000F5686">
        <w:t xml:space="preserve">, avec des notes historiques de Ferenc </w:t>
      </w:r>
      <w:proofErr w:type="spellStart"/>
      <w:r w:rsidRPr="000F5686">
        <w:t>Tóth</w:t>
      </w:r>
      <w:proofErr w:type="spellEnd"/>
      <w:r w:rsidRPr="000F5686">
        <w:t xml:space="preserve">, édition revue et préparée par Michel </w:t>
      </w:r>
      <w:proofErr w:type="gramStart"/>
      <w:r w:rsidRPr="000F5686">
        <w:t>Marty,  Paris</w:t>
      </w:r>
      <w:proofErr w:type="gramEnd"/>
      <w:r w:rsidRPr="000F5686">
        <w:t xml:space="preserve">, Honoré Champion,  2011, 384 p.; </w:t>
      </w:r>
      <w:proofErr w:type="spellStart"/>
      <w:r w:rsidRPr="000F5686">
        <w:t>Gábor</w:t>
      </w:r>
      <w:proofErr w:type="spellEnd"/>
      <w:r w:rsidRPr="000F5686">
        <w:t xml:space="preserve"> TÜSKÉS (</w:t>
      </w:r>
      <w:proofErr w:type="spellStart"/>
      <w:r w:rsidRPr="000F5686">
        <w:t>Hrsg</w:t>
      </w:r>
      <w:proofErr w:type="spellEnd"/>
      <w:r w:rsidRPr="000F5686">
        <w:t xml:space="preserve"> ./</w:t>
      </w:r>
      <w:proofErr w:type="spellStart"/>
      <w:r w:rsidRPr="000F5686">
        <w:t>ed</w:t>
      </w:r>
      <w:proofErr w:type="spellEnd"/>
      <w:r w:rsidRPr="000F5686">
        <w:t xml:space="preserve">./éd./ , </w:t>
      </w:r>
      <w:proofErr w:type="spellStart"/>
      <w:r w:rsidRPr="000F5686">
        <w:t>Literaturtransfer</w:t>
      </w:r>
      <w:proofErr w:type="spellEnd"/>
      <w:r w:rsidRPr="000F5686">
        <w:t xml:space="preserve"> </w:t>
      </w:r>
      <w:proofErr w:type="spellStart"/>
      <w:r w:rsidRPr="000F5686">
        <w:t>und</w:t>
      </w:r>
      <w:proofErr w:type="spellEnd"/>
      <w:r w:rsidRPr="000F5686">
        <w:t xml:space="preserve"> </w:t>
      </w:r>
      <w:proofErr w:type="spellStart"/>
      <w:r w:rsidRPr="000F5686">
        <w:t>Interkulturalität</w:t>
      </w:r>
      <w:proofErr w:type="spellEnd"/>
      <w:r w:rsidRPr="000F5686">
        <w:t xml:space="preserve"> </w:t>
      </w:r>
      <w:proofErr w:type="spellStart"/>
      <w:r w:rsidRPr="000F5686">
        <w:t>im</w:t>
      </w:r>
      <w:proofErr w:type="spellEnd"/>
      <w:r w:rsidRPr="000F5686">
        <w:t xml:space="preserve"> Exil. Transmission of </w:t>
      </w:r>
      <w:proofErr w:type="spellStart"/>
      <w:r w:rsidRPr="000F5686">
        <w:t>Literature</w:t>
      </w:r>
      <w:proofErr w:type="spellEnd"/>
      <w:r w:rsidRPr="000F5686">
        <w:t xml:space="preserve"> and </w:t>
      </w:r>
      <w:proofErr w:type="spellStart"/>
      <w:r w:rsidRPr="000F5686">
        <w:t>Intercultural</w:t>
      </w:r>
      <w:proofErr w:type="spellEnd"/>
      <w:r w:rsidRPr="000F5686">
        <w:t xml:space="preserve"> </w:t>
      </w:r>
      <w:proofErr w:type="spellStart"/>
      <w:r w:rsidRPr="000F5686">
        <w:t>Discourse</w:t>
      </w:r>
      <w:proofErr w:type="spellEnd"/>
      <w:r w:rsidRPr="000F5686">
        <w:t xml:space="preserve"> in Exile. Transmission de la littérature et interculturalité en exil, Bern, Peter Lang, 2012, 561 p.,</w:t>
      </w:r>
      <w:r w:rsidR="00D45E6D" w:rsidRPr="000F5686">
        <w:t xml:space="preserve"> in : </w:t>
      </w:r>
      <w:r w:rsidRPr="000F5686">
        <w:t xml:space="preserve"> </w:t>
      </w:r>
      <w:r w:rsidRPr="000F5686">
        <w:rPr>
          <w:i/>
        </w:rPr>
        <w:t>Revue d’Histoire Moderne et Contemporaine</w:t>
      </w:r>
      <w:r w:rsidRPr="000F5686">
        <w:t xml:space="preserve">, 61, avril-juin </w:t>
      </w:r>
      <w:proofErr w:type="gramStart"/>
      <w:r w:rsidRPr="000F5686">
        <w:t>2014,  p.</w:t>
      </w:r>
      <w:proofErr w:type="gramEnd"/>
      <w:r w:rsidRPr="000F5686">
        <w:t xml:space="preserve"> 207-208.</w:t>
      </w:r>
    </w:p>
    <w:p w:rsidR="007B2740" w:rsidRPr="000F5686" w:rsidRDefault="007B2740" w:rsidP="007B2740">
      <w:pPr>
        <w:spacing w:line="256" w:lineRule="auto"/>
        <w:ind w:left="116" w:right="120"/>
      </w:pPr>
    </w:p>
    <w:p w:rsidR="007B2740" w:rsidRPr="001A09E9" w:rsidRDefault="007B2740" w:rsidP="007B2740">
      <w:pPr>
        <w:spacing w:line="256" w:lineRule="auto"/>
        <w:ind w:left="116" w:right="120"/>
        <w:rPr>
          <w:lang w:val="en-GB"/>
        </w:rPr>
      </w:pPr>
      <w:r w:rsidRPr="000F5686">
        <w:t>– Marie-Madeleine de CEVINS (</w:t>
      </w:r>
      <w:proofErr w:type="spellStart"/>
      <w:r w:rsidRPr="000F5686">
        <w:t>dir</w:t>
      </w:r>
      <w:proofErr w:type="spellEnd"/>
      <w:r w:rsidRPr="000F5686">
        <w:t xml:space="preserve">.), L’Europe centrale au seuil de la modernité. Mutations sociales, religieuses et culturelles : Autriche, Bohême, Hongrie et Pologne, fin du XIVe-milieu du XVIe </w:t>
      </w:r>
      <w:proofErr w:type="gramStart"/>
      <w:r w:rsidRPr="000F5686">
        <w:t>siècle,  Rennes</w:t>
      </w:r>
      <w:proofErr w:type="gramEnd"/>
      <w:r w:rsidRPr="000F5686">
        <w:t xml:space="preserve">, Presses universitaires de Rennes, 2010, 232 p., in : </w:t>
      </w:r>
      <w:r w:rsidRPr="000F5686">
        <w:rPr>
          <w:i/>
        </w:rPr>
        <w:t xml:space="preserve">Annales. </w:t>
      </w:r>
      <w:proofErr w:type="spellStart"/>
      <w:r w:rsidRPr="001A09E9">
        <w:rPr>
          <w:i/>
          <w:lang w:val="en-GB"/>
        </w:rPr>
        <w:t>Histoire</w:t>
      </w:r>
      <w:proofErr w:type="spellEnd"/>
      <w:r w:rsidRPr="001A09E9">
        <w:rPr>
          <w:i/>
          <w:lang w:val="en-GB"/>
        </w:rPr>
        <w:t xml:space="preserve">, Sciences </w:t>
      </w:r>
      <w:proofErr w:type="spellStart"/>
      <w:r w:rsidRPr="001A09E9">
        <w:rPr>
          <w:i/>
          <w:lang w:val="en-GB"/>
        </w:rPr>
        <w:t>Sociales</w:t>
      </w:r>
      <w:proofErr w:type="spellEnd"/>
      <w:r w:rsidRPr="001A09E9">
        <w:rPr>
          <w:lang w:val="en-GB"/>
        </w:rPr>
        <w:t xml:space="preserve">, 2013/2, 68e </w:t>
      </w:r>
      <w:proofErr w:type="spellStart"/>
      <w:r w:rsidRPr="001A09E9">
        <w:rPr>
          <w:lang w:val="en-GB"/>
        </w:rPr>
        <w:t>année</w:t>
      </w:r>
      <w:proofErr w:type="spellEnd"/>
      <w:r w:rsidRPr="001A09E9">
        <w:rPr>
          <w:lang w:val="en-GB"/>
        </w:rPr>
        <w:t xml:space="preserve">, p. </w:t>
      </w:r>
      <w:r w:rsidR="00541B5B" w:rsidRPr="001A09E9">
        <w:rPr>
          <w:lang w:val="en-GB"/>
        </w:rPr>
        <w:t>5</w:t>
      </w:r>
      <w:r w:rsidR="00D45E6D" w:rsidRPr="001A09E9">
        <w:rPr>
          <w:lang w:val="en-GB"/>
        </w:rPr>
        <w:t>38-</w:t>
      </w:r>
      <w:r w:rsidR="00541B5B" w:rsidRPr="001A09E9">
        <w:rPr>
          <w:lang w:val="en-GB"/>
        </w:rPr>
        <w:t>5</w:t>
      </w:r>
      <w:r w:rsidR="00D45E6D" w:rsidRPr="001A09E9">
        <w:rPr>
          <w:lang w:val="en-GB"/>
        </w:rPr>
        <w:t>4</w:t>
      </w:r>
      <w:r w:rsidR="00541B5B" w:rsidRPr="001A09E9">
        <w:rPr>
          <w:lang w:val="en-GB"/>
        </w:rPr>
        <w:t>0</w:t>
      </w:r>
    </w:p>
    <w:p w:rsidR="007B2740" w:rsidRPr="001A09E9" w:rsidRDefault="007B2740" w:rsidP="007B2740">
      <w:pPr>
        <w:spacing w:line="256" w:lineRule="auto"/>
        <w:ind w:left="116" w:right="120"/>
        <w:rPr>
          <w:lang w:val="en-GB"/>
        </w:rPr>
      </w:pPr>
    </w:p>
    <w:p w:rsidR="007B2740" w:rsidRPr="000F5686" w:rsidRDefault="0011626C" w:rsidP="0011626C">
      <w:pPr>
        <w:spacing w:line="256" w:lineRule="auto"/>
        <w:ind w:right="120" w:firstLine="116"/>
        <w:rPr>
          <w:lang w:val="en-GB"/>
        </w:rPr>
      </w:pPr>
      <w:r w:rsidRPr="000F5686">
        <w:rPr>
          <w:lang w:val="en-GB"/>
        </w:rPr>
        <w:t>-</w:t>
      </w:r>
      <w:r w:rsidR="007B2740" w:rsidRPr="000F5686">
        <w:rPr>
          <w:lang w:val="en-GB"/>
        </w:rPr>
        <w:t xml:space="preserve">Howard LOUTHAN, Converting Bohemia. Force and Persuasion in the Catholic Reformation, Cambridge University Press, 2009, in: </w:t>
      </w:r>
      <w:r w:rsidR="007B2740" w:rsidRPr="000F5686">
        <w:rPr>
          <w:i/>
          <w:lang w:val="en-GB"/>
        </w:rPr>
        <w:t>The Catholic Historical Review</w:t>
      </w:r>
      <w:r w:rsidR="007B2740" w:rsidRPr="000F5686">
        <w:rPr>
          <w:lang w:val="en-GB"/>
        </w:rPr>
        <w:t>, Vol. 96, n° 4, October 2010, p. 821-822.</w:t>
      </w:r>
    </w:p>
    <w:p w:rsidR="0011626C" w:rsidRPr="000F5686" w:rsidRDefault="0011626C" w:rsidP="007B2740">
      <w:pPr>
        <w:spacing w:line="256" w:lineRule="auto"/>
        <w:ind w:right="120"/>
        <w:rPr>
          <w:lang w:val="en-GB"/>
        </w:rPr>
      </w:pPr>
    </w:p>
    <w:p w:rsidR="0011626C" w:rsidRPr="00565A14" w:rsidRDefault="0011626C" w:rsidP="0011626C">
      <w:pPr>
        <w:spacing w:line="256" w:lineRule="auto"/>
        <w:ind w:right="120" w:firstLine="116"/>
        <w:rPr>
          <w:lang w:val="de-DE"/>
        </w:rPr>
      </w:pPr>
      <w:r w:rsidRPr="00565A14">
        <w:rPr>
          <w:lang w:val="de-DE"/>
        </w:rPr>
        <w:t xml:space="preserve">-Stefan STEINER, Reisen ohne Wiederkehr: die Deportation von Protestanten aus Kärnten 1734-1736, Munich, </w:t>
      </w:r>
      <w:proofErr w:type="spellStart"/>
      <w:r w:rsidRPr="00565A14">
        <w:rPr>
          <w:lang w:val="de-DE"/>
        </w:rPr>
        <w:t>Oldenbourg</w:t>
      </w:r>
      <w:proofErr w:type="spellEnd"/>
      <w:r w:rsidRPr="00565A14">
        <w:rPr>
          <w:lang w:val="de-DE"/>
        </w:rPr>
        <w:t xml:space="preserve"> Verlag 2007, in: </w:t>
      </w:r>
      <w:r w:rsidRPr="00565A14">
        <w:rPr>
          <w:i/>
          <w:lang w:val="de-DE"/>
        </w:rPr>
        <w:t xml:space="preserve">Austrian </w:t>
      </w:r>
      <w:proofErr w:type="spellStart"/>
      <w:r w:rsidRPr="00565A14">
        <w:rPr>
          <w:i/>
          <w:lang w:val="de-DE"/>
        </w:rPr>
        <w:t>History</w:t>
      </w:r>
      <w:proofErr w:type="spellEnd"/>
      <w:r w:rsidRPr="00565A14">
        <w:rPr>
          <w:i/>
          <w:lang w:val="de-DE"/>
        </w:rPr>
        <w:t xml:space="preserve"> Yearbook</w:t>
      </w:r>
      <w:r w:rsidRPr="00565A14">
        <w:rPr>
          <w:lang w:val="de-DE"/>
        </w:rPr>
        <w:t>, 2010, 41, p. 273-274</w:t>
      </w:r>
    </w:p>
    <w:sectPr w:rsidR="0011626C" w:rsidRPr="00565A14">
      <w:pgSz w:w="11910" w:h="16840"/>
      <w:pgMar w:top="6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C5919"/>
    <w:multiLevelType w:val="hybridMultilevel"/>
    <w:tmpl w:val="A4BC3E90"/>
    <w:lvl w:ilvl="0" w:tplc="647E9390">
      <w:numFmt w:val="bullet"/>
      <w:lvlText w:val="-"/>
      <w:lvlJc w:val="left"/>
      <w:pPr>
        <w:ind w:left="116" w:hanging="123"/>
      </w:pPr>
      <w:rPr>
        <w:rFonts w:ascii="Times New Roman" w:eastAsia="Times New Roman" w:hAnsi="Times New Roman" w:cs="Times New Roman" w:hint="default"/>
        <w:w w:val="100"/>
        <w:sz w:val="22"/>
        <w:szCs w:val="22"/>
        <w:lang w:val="fr-FR" w:eastAsia="en-US" w:bidi="ar-SA"/>
      </w:rPr>
    </w:lvl>
    <w:lvl w:ilvl="1" w:tplc="9DBCCAE4">
      <w:numFmt w:val="bullet"/>
      <w:lvlText w:val="•"/>
      <w:lvlJc w:val="left"/>
      <w:pPr>
        <w:ind w:left="1038" w:hanging="123"/>
      </w:pPr>
      <w:rPr>
        <w:rFonts w:hint="default"/>
        <w:lang w:val="fr-FR" w:eastAsia="en-US" w:bidi="ar-SA"/>
      </w:rPr>
    </w:lvl>
    <w:lvl w:ilvl="2" w:tplc="4C38614E">
      <w:numFmt w:val="bullet"/>
      <w:lvlText w:val="•"/>
      <w:lvlJc w:val="left"/>
      <w:pPr>
        <w:ind w:left="1957" w:hanging="123"/>
      </w:pPr>
      <w:rPr>
        <w:rFonts w:hint="default"/>
        <w:lang w:val="fr-FR" w:eastAsia="en-US" w:bidi="ar-SA"/>
      </w:rPr>
    </w:lvl>
    <w:lvl w:ilvl="3" w:tplc="5BAA180E">
      <w:numFmt w:val="bullet"/>
      <w:lvlText w:val="•"/>
      <w:lvlJc w:val="left"/>
      <w:pPr>
        <w:ind w:left="2875" w:hanging="123"/>
      </w:pPr>
      <w:rPr>
        <w:rFonts w:hint="default"/>
        <w:lang w:val="fr-FR" w:eastAsia="en-US" w:bidi="ar-SA"/>
      </w:rPr>
    </w:lvl>
    <w:lvl w:ilvl="4" w:tplc="236C4F48">
      <w:numFmt w:val="bullet"/>
      <w:lvlText w:val="•"/>
      <w:lvlJc w:val="left"/>
      <w:pPr>
        <w:ind w:left="3794" w:hanging="123"/>
      </w:pPr>
      <w:rPr>
        <w:rFonts w:hint="default"/>
        <w:lang w:val="fr-FR" w:eastAsia="en-US" w:bidi="ar-SA"/>
      </w:rPr>
    </w:lvl>
    <w:lvl w:ilvl="5" w:tplc="10D4EB22">
      <w:numFmt w:val="bullet"/>
      <w:lvlText w:val="•"/>
      <w:lvlJc w:val="left"/>
      <w:pPr>
        <w:ind w:left="4713" w:hanging="123"/>
      </w:pPr>
      <w:rPr>
        <w:rFonts w:hint="default"/>
        <w:lang w:val="fr-FR" w:eastAsia="en-US" w:bidi="ar-SA"/>
      </w:rPr>
    </w:lvl>
    <w:lvl w:ilvl="6" w:tplc="3EF4A00C">
      <w:numFmt w:val="bullet"/>
      <w:lvlText w:val="•"/>
      <w:lvlJc w:val="left"/>
      <w:pPr>
        <w:ind w:left="5631" w:hanging="123"/>
      </w:pPr>
      <w:rPr>
        <w:rFonts w:hint="default"/>
        <w:lang w:val="fr-FR" w:eastAsia="en-US" w:bidi="ar-SA"/>
      </w:rPr>
    </w:lvl>
    <w:lvl w:ilvl="7" w:tplc="6004D150">
      <w:numFmt w:val="bullet"/>
      <w:lvlText w:val="•"/>
      <w:lvlJc w:val="left"/>
      <w:pPr>
        <w:ind w:left="6550" w:hanging="123"/>
      </w:pPr>
      <w:rPr>
        <w:rFonts w:hint="default"/>
        <w:lang w:val="fr-FR" w:eastAsia="en-US" w:bidi="ar-SA"/>
      </w:rPr>
    </w:lvl>
    <w:lvl w:ilvl="8" w:tplc="623C3586">
      <w:numFmt w:val="bullet"/>
      <w:lvlText w:val="•"/>
      <w:lvlJc w:val="left"/>
      <w:pPr>
        <w:ind w:left="7469" w:hanging="123"/>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savePreviewPicture/>
  <w:compat>
    <w:ulTrailSpace/>
    <w:shapeLayoutLikeWW8/>
    <w:compatSetting w:name="compatibilityMode" w:uri="http://schemas.microsoft.com/office/word" w:val="12"/>
    <w:compatSetting w:name="useWord2013TrackBottomHyphenation" w:uri="http://schemas.microsoft.com/office/word" w:val="1"/>
  </w:compat>
  <w:rsids>
    <w:rsidRoot w:val="00C8266B"/>
    <w:rsid w:val="00002401"/>
    <w:rsid w:val="00054EF3"/>
    <w:rsid w:val="00096A53"/>
    <w:rsid w:val="000B25B8"/>
    <w:rsid w:val="000F5686"/>
    <w:rsid w:val="0011626C"/>
    <w:rsid w:val="00160C41"/>
    <w:rsid w:val="001A09E9"/>
    <w:rsid w:val="001D0083"/>
    <w:rsid w:val="00252C09"/>
    <w:rsid w:val="00256526"/>
    <w:rsid w:val="0027695D"/>
    <w:rsid w:val="004077A7"/>
    <w:rsid w:val="00541B5B"/>
    <w:rsid w:val="00565A14"/>
    <w:rsid w:val="005747B1"/>
    <w:rsid w:val="007B2740"/>
    <w:rsid w:val="008333DA"/>
    <w:rsid w:val="008B72D8"/>
    <w:rsid w:val="00945477"/>
    <w:rsid w:val="009569D9"/>
    <w:rsid w:val="009E6FFA"/>
    <w:rsid w:val="00A200E8"/>
    <w:rsid w:val="00A36E04"/>
    <w:rsid w:val="00AA080F"/>
    <w:rsid w:val="00B075A1"/>
    <w:rsid w:val="00BA7E2F"/>
    <w:rsid w:val="00BE2E13"/>
    <w:rsid w:val="00BE7F6A"/>
    <w:rsid w:val="00C8266B"/>
    <w:rsid w:val="00CF6CF7"/>
    <w:rsid w:val="00D14F5E"/>
    <w:rsid w:val="00D45E6D"/>
    <w:rsid w:val="00D557DA"/>
    <w:rsid w:val="00DF0388"/>
    <w:rsid w:val="00E10656"/>
    <w:rsid w:val="00F2096D"/>
    <w:rsid w:val="00FA57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BA68C2-B168-4948-8BD1-910A4F13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fr-FR"/>
    </w:rPr>
  </w:style>
  <w:style w:type="paragraph" w:styleId="Titre1">
    <w:name w:val="heading 1"/>
    <w:basedOn w:val="Normal"/>
    <w:link w:val="Titre1Car"/>
    <w:uiPriority w:val="9"/>
    <w:qFormat/>
    <w:pPr>
      <w:ind w:left="116"/>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spacing w:before="1"/>
      <w:ind w:left="116"/>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A36E04"/>
    <w:rPr>
      <w:color w:val="0000FF" w:themeColor="hyperlink"/>
      <w:u w:val="single"/>
    </w:rPr>
  </w:style>
  <w:style w:type="paragraph" w:styleId="NormalWeb">
    <w:name w:val="Normal (Web)"/>
    <w:basedOn w:val="Normal"/>
    <w:uiPriority w:val="99"/>
    <w:semiHidden/>
    <w:unhideWhenUsed/>
    <w:rsid w:val="00252C09"/>
    <w:pPr>
      <w:widowControl/>
      <w:autoSpaceDE/>
      <w:autoSpaceDN/>
      <w:spacing w:before="100" w:beforeAutospacing="1" w:after="100" w:afterAutospacing="1"/>
    </w:pPr>
    <w:rPr>
      <w:sz w:val="24"/>
      <w:szCs w:val="24"/>
      <w:lang w:eastAsia="fr-FR"/>
    </w:rPr>
  </w:style>
  <w:style w:type="character" w:styleId="Mentionnonrsolue">
    <w:name w:val="Unresolved Mention"/>
    <w:basedOn w:val="Policepardfaut"/>
    <w:uiPriority w:val="99"/>
    <w:semiHidden/>
    <w:unhideWhenUsed/>
    <w:rsid w:val="00252C09"/>
    <w:rPr>
      <w:color w:val="605E5C"/>
      <w:shd w:val="clear" w:color="auto" w:fill="E1DFDD"/>
    </w:rPr>
  </w:style>
  <w:style w:type="character" w:customStyle="1" w:styleId="Titre1Car">
    <w:name w:val="Titre 1 Car"/>
    <w:basedOn w:val="Policepardfaut"/>
    <w:link w:val="Titre1"/>
    <w:uiPriority w:val="9"/>
    <w:rsid w:val="001A09E9"/>
    <w:rPr>
      <w:rFonts w:ascii="Times New Roman" w:eastAsia="Times New Roman" w:hAnsi="Times New Roman" w:cs="Times New Roman"/>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943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rh.revues.org/index4173/html" TargetMode="External"/><Relationship Id="rId13" Type="http://schemas.openxmlformats.org/officeDocument/2006/relationships/hyperlink" Target="https://halshs.archives-ouvertes.fr/halshs-01706855" TargetMode="External"/><Relationship Id="rId3" Type="http://schemas.openxmlformats.org/officeDocument/2006/relationships/settings" Target="settings.xml"/><Relationship Id="rId7" Type="http://schemas.openxmlformats.org/officeDocument/2006/relationships/hyperlink" Target="http://www.dejinyteoriekritika.cz/Modules/ViewDocument.aspx?Did=4765" TargetMode="External"/><Relationship Id="rId12" Type="http://schemas.openxmlformats.org/officeDocument/2006/relationships/hyperlink" Target="https://doi.org/10.4000/acrh.1074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i.org/10.4000/acrh.10678" TargetMode="External"/><Relationship Id="rId11" Type="http://schemas.openxmlformats.org/officeDocument/2006/relationships/hyperlink" Target="https://doi.org/10.4000/acrh.12201" TargetMode="External"/><Relationship Id="rId5" Type="http://schemas.openxmlformats.org/officeDocument/2006/relationships/hyperlink" Target="https://doi.org/10.4000/acrh.12036" TargetMode="External"/><Relationship Id="rId15" Type="http://schemas.openxmlformats.org/officeDocument/2006/relationships/fontTable" Target="fontTable.xml"/><Relationship Id="rId10" Type="http://schemas.openxmlformats.org/officeDocument/2006/relationships/hyperlink" Target="https://doi.org/10.4000/acrh.10717" TargetMode="External"/><Relationship Id="rId4" Type="http://schemas.openxmlformats.org/officeDocument/2006/relationships/webSettings" Target="webSettings.xml"/><Relationship Id="rId9" Type="http://schemas.openxmlformats.org/officeDocument/2006/relationships/hyperlink" Target="https://doi.org/10.4000/acrh.12040" TargetMode="External"/><Relationship Id="rId14" Type="http://schemas.openxmlformats.org/officeDocument/2006/relationships/hyperlink" Target="http://halshs.archives-ouvertes.fr/halshs-00726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2336</Words>
  <Characters>12852</Characters>
  <Application>Microsoft Office Word</Application>
  <DocSecurity>0</DocSecurity>
  <Lines>107</Lines>
  <Paragraphs>30</Paragraphs>
  <ScaleCrop>false</ScaleCrop>
  <HeadingPairs>
    <vt:vector size="4" baseType="variant">
      <vt:variant>
        <vt:lpstr>Titre</vt:lpstr>
      </vt:variant>
      <vt:variant>
        <vt:i4>1</vt:i4>
      </vt:variant>
      <vt:variant>
        <vt:lpstr>Titres</vt:lpstr>
      </vt:variant>
      <vt:variant>
        <vt:i4>23</vt:i4>
      </vt:variant>
    </vt:vector>
  </HeadingPairs>
  <TitlesOfParts>
    <vt:vector size="24" baseType="lpstr">
      <vt:lpstr/>
      <vt:lpstr>Marie-Elizabeth Ducreux</vt:lpstr>
      <vt:lpstr>Ouvrages dirigés et édités:</vt:lpstr>
      <vt:lpstr/>
      <vt:lpstr/>
      <vt:lpstr>https://doi.org/10.4000/acrh.10678</vt:lpstr>
      <vt:lpstr>Articles dans des revues à comité de lecture :</vt:lpstr>
      <vt:lpstr>Parus:</vt:lpstr>
      <vt:lpstr>“Patronage, Politics, and Devotion : The Habsburgs of Central Europe and Jesuits</vt:lpstr>
      <vt:lpstr>- « Early Modern Mobilities and People on the Move: An Epistemological Challenge</vt:lpstr>
      <vt:lpstr>http://www.dejinyteoriekritika.cz/Modules/ViewDocument.aspx?Did=4765</vt:lpstr>
      <vt:lpstr>Parus:</vt:lpstr>
      <vt:lpstr/>
      <vt:lpstr/>
      <vt:lpstr>-« Jenseits der Völker und der Nationen, jenseits des Absolutismus: Die Auflösun</vt:lpstr>
      <vt:lpstr/>
      <vt:lpstr/>
      <vt:lpstr>« Heresy: Fighting the Crypto-Protestant “Infestation” under the Habsburg Monarc</vt:lpstr>
      <vt:lpstr/>
      <vt:lpstr>« Knihy určené ženám, knihy určené mužům. Úvahy o modlitebních knihách v Čechác</vt:lpstr>
      <vt:lpstr/>
      <vt:lpstr>- Isabelle Backouche, Fanny Cosandey, Marie-Élizabeth Ducreux, Christophe Duhame</vt:lpstr>
      <vt:lpstr>https://doi.org/10.4000/acrh.12040</vt:lpstr>
      <vt:lpstr/>
    </vt:vector>
  </TitlesOfParts>
  <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Marie-Elizabeth Ducreux</dc:creator>
  <cp:lastModifiedBy>Marie-Elizabeth Ducreux</cp:lastModifiedBy>
  <cp:revision>2</cp:revision>
  <dcterms:created xsi:type="dcterms:W3CDTF">2022-11-07T16:57:00Z</dcterms:created>
  <dcterms:modified xsi:type="dcterms:W3CDTF">2022-11-07T16:57:00Z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Microsoft® Word 2016</vt:lpwstr>
  </property>
  <property fmtid="{D5CDD505-2E9C-101B-9397-08002B2CF9AE}" pid="4" name="LastSaved">
    <vt:filetime>2021-03-22T00:00:00Z</vt:filetime>
  </property>
</Properties>
</file>